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nsPlusNormal1"/>
        <w:widowControl/>
        <w:ind w:hanging="0"/>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Приложение № 6.5.</w:t>
      </w:r>
    </w:p>
    <w:p>
      <w:pPr>
        <w:pStyle w:val="Normal"/>
        <w:spacing w:lineRule="auto" w:line="240" w:before="0" w:after="0"/>
        <w:ind w:left="4820" w:hanging="0"/>
        <w:rPr>
          <w:rFonts w:ascii="Times New Roman" w:hAnsi="Times New Roman" w:cs="Times New Roman"/>
          <w:bCs/>
          <w:sz w:val="28"/>
          <w:szCs w:val="28"/>
        </w:rPr>
      </w:pPr>
      <w:r>
        <w:rPr>
          <w:rFonts w:cs="Times New Roman" w:ascii="Times New Roman" w:hAnsi="Times New Roman"/>
          <w:sz w:val="28"/>
          <w:szCs w:val="28"/>
        </w:rPr>
        <w:t>к муниципальной программе   «Муниципальное управление</w:t>
      </w:r>
      <w:r>
        <w:rPr>
          <w:rFonts w:cs="Times New Roman" w:ascii="Times New Roman" w:hAnsi="Times New Roman"/>
          <w:bCs/>
          <w:sz w:val="28"/>
          <w:szCs w:val="28"/>
        </w:rPr>
        <w:t xml:space="preserve">» </w:t>
      </w:r>
    </w:p>
    <w:p>
      <w:pPr>
        <w:pStyle w:val="Normal"/>
        <w:widowControl w:val="false"/>
        <w:numPr>
          <w:ilvl w:val="0"/>
          <w:numId w:val="0"/>
        </w:numPr>
        <w:spacing w:lineRule="auto" w:line="240" w:before="0" w:after="0"/>
        <w:jc w:val="center"/>
        <w:outlineLvl w:val="1"/>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numPr>
          <w:ilvl w:val="0"/>
          <w:numId w:val="0"/>
        </w:numPr>
        <w:spacing w:lineRule="auto" w:line="240" w:before="0" w:after="0"/>
        <w:jc w:val="center"/>
        <w:outlineLvl w:val="1"/>
        <w:rPr>
          <w:rFonts w:ascii="Times New Roman" w:hAnsi="Times New Roman" w:cs="Times New Roman"/>
          <w:b/>
          <w:b/>
          <w:sz w:val="28"/>
          <w:szCs w:val="28"/>
        </w:rPr>
      </w:pPr>
      <w:r>
        <w:rPr>
          <w:rFonts w:cs="Times New Roman" w:ascii="Times New Roman" w:hAnsi="Times New Roman"/>
          <w:b/>
          <w:sz w:val="28"/>
          <w:szCs w:val="28"/>
        </w:rPr>
      </w:r>
    </w:p>
    <w:p>
      <w:pPr>
        <w:pStyle w:val="ListParagraph"/>
        <w:widowControl w:val="false"/>
        <w:numPr>
          <w:ilvl w:val="0"/>
          <w:numId w:val="1"/>
        </w:numPr>
        <w:spacing w:lineRule="auto" w:line="240" w:before="0" w:after="0"/>
        <w:contextualSpacing/>
        <w:jc w:val="center"/>
        <w:outlineLvl w:val="1"/>
        <w:rPr>
          <w:rFonts w:ascii="Times New Roman" w:hAnsi="Times New Roman" w:cs="Times New Roman"/>
          <w:b/>
          <w:b/>
          <w:sz w:val="28"/>
          <w:szCs w:val="28"/>
        </w:rPr>
      </w:pPr>
      <w:r>
        <w:rPr>
          <w:rFonts w:cs="Times New Roman" w:ascii="Times New Roman" w:hAnsi="Times New Roman"/>
          <w:b/>
          <w:sz w:val="28"/>
          <w:szCs w:val="28"/>
        </w:rPr>
        <w:t xml:space="preserve">ПАСПОРТ ПОДПРОГРАММЫ </w:t>
      </w:r>
    </w:p>
    <w:p>
      <w:pPr>
        <w:pStyle w:val="ListParagraph"/>
        <w:widowControl w:val="false"/>
        <w:spacing w:lineRule="auto" w:line="240" w:before="0" w:after="0"/>
        <w:contextualSpacing/>
        <w:jc w:val="center"/>
        <w:rPr>
          <w:rFonts w:ascii="Times New Roman" w:hAnsi="Times New Roman" w:cs="Times New Roman"/>
          <w:b/>
          <w:b/>
          <w:sz w:val="28"/>
          <w:szCs w:val="28"/>
        </w:rPr>
      </w:pPr>
      <w:r>
        <w:rPr>
          <w:rFonts w:cs="Times New Roman" w:ascii="Times New Roman" w:hAnsi="Times New Roman"/>
          <w:b/>
          <w:sz w:val="28"/>
          <w:szCs w:val="28"/>
        </w:rPr>
        <w:t>«Обеспечение реализации муниципальной программы»</w:t>
      </w:r>
    </w:p>
    <w:p>
      <w:pPr>
        <w:pStyle w:val="Normal"/>
        <w:widowControl w:val="false"/>
        <w:spacing w:lineRule="auto" w:line="240" w:before="0" w:after="0"/>
        <w:jc w:val="center"/>
        <w:rPr>
          <w:rFonts w:ascii="Times New Roman" w:hAnsi="Times New Roman" w:cs="Times New Roman"/>
          <w:b/>
          <w:b/>
          <w:sz w:val="28"/>
          <w:szCs w:val="28"/>
        </w:rPr>
      </w:pPr>
      <w:r>
        <w:rPr>
          <w:rFonts w:cs="Times New Roman" w:ascii="Times New Roman" w:hAnsi="Times New Roman"/>
          <w:b/>
          <w:sz w:val="28"/>
          <w:szCs w:val="28"/>
        </w:rPr>
      </w:r>
    </w:p>
    <w:tbl>
      <w:tblPr>
        <w:tblW w:w="9923" w:type="dxa"/>
        <w:jc w:val="left"/>
        <w:tblInd w:w="4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45" w:type="dxa"/>
          <w:bottom w:w="0" w:type="dxa"/>
          <w:right w:w="75" w:type="dxa"/>
        </w:tblCellMar>
        <w:tblLook w:val="04a0"/>
      </w:tblPr>
      <w:tblGrid>
        <w:gridCol w:w="2924"/>
        <w:gridCol w:w="6998"/>
      </w:tblGrid>
      <w:tr>
        <w:trPr>
          <w:trHeight w:val="600" w:hRule="atLeast"/>
        </w:trPr>
        <w:tc>
          <w:tcPr>
            <w:tcW w:w="292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5" w:type="dxa"/>
            </w:tcMar>
          </w:tcPr>
          <w:p>
            <w:pPr>
              <w:pStyle w:val="ConsPlusCell"/>
              <w:rPr>
                <w:rFonts w:ascii="Times New Roman" w:hAnsi="Times New Roman" w:cs="Times New Roman"/>
                <w:sz w:val="28"/>
                <w:szCs w:val="28"/>
              </w:rPr>
            </w:pPr>
            <w:r>
              <w:rPr>
                <w:rFonts w:cs="Times New Roman" w:ascii="Times New Roman" w:hAnsi="Times New Roman"/>
                <w:sz w:val="28"/>
                <w:szCs w:val="28"/>
              </w:rPr>
              <w:t xml:space="preserve">Наименование            </w:t>
              <w:br/>
              <w:t xml:space="preserve">подпрограммы           </w:t>
            </w:r>
          </w:p>
        </w:tc>
        <w:tc>
          <w:tcPr>
            <w:tcW w:w="6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5" w:type="dxa"/>
            </w:tcMar>
          </w:tcPr>
          <w:p>
            <w:pPr>
              <w:pStyle w:val="Normal"/>
              <w:widowControl w:val="false"/>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 xml:space="preserve">«Обеспечение реализации муниципальной программы» </w:t>
            </w:r>
          </w:p>
          <w:p>
            <w:pPr>
              <w:pStyle w:val="ConsPlusCell"/>
              <w:spacing w:lineRule="auto" w:line="240"/>
              <w:jc w:val="both"/>
              <w:rPr>
                <w:rFonts w:ascii="Times New Roman" w:hAnsi="Times New Roman" w:cs="Times New Roman"/>
                <w:sz w:val="28"/>
                <w:szCs w:val="28"/>
              </w:rPr>
            </w:pPr>
            <w:r>
              <w:rPr>
                <w:rFonts w:cs="Times New Roman" w:ascii="Times New Roman" w:hAnsi="Times New Roman"/>
                <w:sz w:val="28"/>
                <w:szCs w:val="28"/>
              </w:rPr>
              <w:t>(далее – подпрограмма)</w:t>
            </w:r>
          </w:p>
        </w:tc>
      </w:tr>
      <w:tr>
        <w:trPr>
          <w:trHeight w:val="600" w:hRule="atLeast"/>
        </w:trPr>
        <w:tc>
          <w:tcPr>
            <w:tcW w:w="292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5" w:type="dxa"/>
            </w:tcMar>
          </w:tcPr>
          <w:p>
            <w:pPr>
              <w:pStyle w:val="ConsPlusCell"/>
              <w:rPr>
                <w:rFonts w:ascii="Times New Roman" w:hAnsi="Times New Roman" w:cs="Times New Roman"/>
                <w:sz w:val="28"/>
                <w:szCs w:val="28"/>
              </w:rPr>
            </w:pPr>
            <w:r>
              <w:rPr>
                <w:rFonts w:cs="Times New Roman" w:ascii="Times New Roman" w:hAnsi="Times New Roman"/>
                <w:sz w:val="28"/>
                <w:szCs w:val="28"/>
              </w:rPr>
              <w:t>Наименование муниципальной программы, в рамках которой реализуется подпрограмма</w:t>
            </w:r>
          </w:p>
        </w:tc>
        <w:tc>
          <w:tcPr>
            <w:tcW w:w="6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5" w:type="dxa"/>
            </w:tcMar>
          </w:tcPr>
          <w:p>
            <w:pPr>
              <w:pStyle w:val="Normal"/>
              <w:widowControl w:val="false"/>
              <w:numPr>
                <w:ilvl w:val="0"/>
                <w:numId w:val="0"/>
              </w:numPr>
              <w:spacing w:lineRule="auto" w:line="240" w:before="0" w:after="0"/>
              <w:jc w:val="both"/>
              <w:outlineLvl w:val="1"/>
              <w:rPr>
                <w:rFonts w:ascii="Times New Roman" w:hAnsi="Times New Roman" w:cs="Times New Roman"/>
                <w:sz w:val="28"/>
                <w:szCs w:val="28"/>
              </w:rPr>
            </w:pPr>
            <w:r>
              <w:rPr>
                <w:rFonts w:cs="Times New Roman" w:ascii="Times New Roman" w:hAnsi="Times New Roman"/>
                <w:sz w:val="28"/>
                <w:szCs w:val="28"/>
              </w:rPr>
              <w:t>«Муниципальное управление» (далее – программа)</w:t>
            </w:r>
          </w:p>
        </w:tc>
      </w:tr>
      <w:tr>
        <w:trPr>
          <w:trHeight w:val="600" w:hRule="atLeast"/>
        </w:trPr>
        <w:tc>
          <w:tcPr>
            <w:tcW w:w="292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5" w:type="dxa"/>
            </w:tcMar>
          </w:tcPr>
          <w:p>
            <w:pPr>
              <w:pStyle w:val="ConsPlusCell"/>
              <w:rPr>
                <w:rFonts w:ascii="Times New Roman" w:hAnsi="Times New Roman" w:cs="Times New Roman"/>
                <w:sz w:val="28"/>
                <w:szCs w:val="28"/>
              </w:rPr>
            </w:pPr>
            <w:r>
              <w:rPr>
                <w:rFonts w:cs="Times New Roman" w:ascii="Times New Roman" w:hAnsi="Times New Roman"/>
                <w:sz w:val="28"/>
                <w:szCs w:val="28"/>
              </w:rPr>
              <w:t xml:space="preserve">Исполнитель            </w:t>
              <w:br/>
              <w:t xml:space="preserve">подпрограммы           </w:t>
            </w:r>
          </w:p>
        </w:tc>
        <w:tc>
          <w:tcPr>
            <w:tcW w:w="6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5" w:type="dxa"/>
            </w:tcMar>
          </w:tcPr>
          <w:p>
            <w:pPr>
              <w:pStyle w:val="ConsPlusCell"/>
              <w:jc w:val="both"/>
              <w:rPr>
                <w:rFonts w:ascii="Times New Roman" w:hAnsi="Times New Roman" w:cs="Times New Roman"/>
                <w:sz w:val="28"/>
                <w:szCs w:val="28"/>
              </w:rPr>
            </w:pPr>
            <w:r>
              <w:rPr>
                <w:rFonts w:cs="Times New Roman" w:ascii="Times New Roman" w:hAnsi="Times New Roman"/>
                <w:sz w:val="28"/>
                <w:szCs w:val="28"/>
              </w:rPr>
              <w:t xml:space="preserve">администрация сельсовета </w:t>
            </w:r>
          </w:p>
        </w:tc>
      </w:tr>
      <w:tr>
        <w:trPr>
          <w:trHeight w:val="600" w:hRule="atLeast"/>
        </w:trPr>
        <w:tc>
          <w:tcPr>
            <w:tcW w:w="292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5" w:type="dxa"/>
            </w:tcMar>
          </w:tcPr>
          <w:p>
            <w:pPr>
              <w:pStyle w:val="ConsPlusCell"/>
              <w:rPr>
                <w:rFonts w:ascii="Times New Roman" w:hAnsi="Times New Roman" w:cs="Times New Roman"/>
                <w:sz w:val="28"/>
                <w:szCs w:val="28"/>
              </w:rPr>
            </w:pPr>
            <w:r>
              <w:rPr>
                <w:rFonts w:cs="Times New Roman" w:ascii="Times New Roman" w:hAnsi="Times New Roman"/>
                <w:sz w:val="28"/>
                <w:szCs w:val="28"/>
              </w:rPr>
              <w:t>Цель и задачи</w:t>
              <w:br/>
              <w:t xml:space="preserve">подпрограммы           </w:t>
            </w:r>
          </w:p>
        </w:tc>
        <w:tc>
          <w:tcPr>
            <w:tcW w:w="6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5" w:type="dxa"/>
            </w:tcMar>
          </w:tcPr>
          <w:p>
            <w:pPr>
              <w:pStyle w:val="ConsPlusCell"/>
              <w:spacing w:lineRule="auto" w:line="240"/>
              <w:jc w:val="both"/>
              <w:rPr>
                <w:rFonts w:ascii="Times New Roman" w:hAnsi="Times New Roman" w:cs="Times New Roman"/>
                <w:sz w:val="28"/>
                <w:szCs w:val="28"/>
              </w:rPr>
            </w:pPr>
            <w:r>
              <w:rPr>
                <w:rFonts w:cs="Times New Roman" w:ascii="Times New Roman" w:hAnsi="Times New Roman"/>
                <w:sz w:val="28"/>
                <w:szCs w:val="28"/>
              </w:rPr>
              <w:t>Целью подпрограммы является создание условий для выполнения полномочий по решению вопросов местного значения поселения и отдельных государственных полномочий.</w:t>
            </w:r>
          </w:p>
          <w:p>
            <w:pPr>
              <w:pStyle w:val="ConsPlusCell"/>
              <w:spacing w:lineRule="auto" w:line="240"/>
              <w:jc w:val="both"/>
              <w:rPr>
                <w:rFonts w:ascii="Times New Roman" w:hAnsi="Times New Roman" w:cs="Times New Roman"/>
                <w:sz w:val="28"/>
                <w:szCs w:val="28"/>
              </w:rPr>
            </w:pPr>
            <w:r>
              <w:rPr>
                <w:rFonts w:cs="Times New Roman" w:ascii="Times New Roman" w:hAnsi="Times New Roman"/>
                <w:sz w:val="28"/>
                <w:szCs w:val="28"/>
              </w:rPr>
              <w:t xml:space="preserve">Задачи подпрограммы: </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-обеспечение деятельности аппарата администрации;</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-осуществление первичного воинского учета;</w:t>
            </w:r>
          </w:p>
          <w:p>
            <w:pPr>
              <w:pStyle w:val="Normal"/>
              <w:spacing w:lineRule="auto" w:line="240" w:before="0" w:after="0"/>
              <w:jc w:val="both"/>
              <w:rPr>
                <w:rFonts w:ascii="Times New Roman" w:hAnsi="Times New Roman" w:cs="Times New Roman"/>
                <w:sz w:val="28"/>
                <w:szCs w:val="28"/>
              </w:rPr>
            </w:pPr>
            <w:r>
              <w:rPr>
                <w:rFonts w:cs="Times New Roman" w:ascii="Times New Roman" w:hAnsi="Times New Roman"/>
                <w:sz w:val="28"/>
                <w:szCs w:val="28"/>
              </w:rPr>
              <w:t>-обеспечение деятельности административных комиссий</w:t>
            </w:r>
          </w:p>
        </w:tc>
      </w:tr>
      <w:tr>
        <w:trPr>
          <w:trHeight w:val="400" w:hRule="atLeast"/>
        </w:trPr>
        <w:tc>
          <w:tcPr>
            <w:tcW w:w="292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5" w:type="dxa"/>
            </w:tcMar>
          </w:tcPr>
          <w:p>
            <w:pPr>
              <w:pStyle w:val="ConsPlusCell"/>
              <w:rPr>
                <w:rFonts w:ascii="Times New Roman" w:hAnsi="Times New Roman" w:cs="Times New Roman"/>
                <w:sz w:val="28"/>
                <w:szCs w:val="28"/>
              </w:rPr>
            </w:pPr>
            <w:r>
              <w:rPr>
                <w:rFonts w:cs="Times New Roman" w:ascii="Times New Roman" w:hAnsi="Times New Roman"/>
                <w:sz w:val="28"/>
                <w:szCs w:val="28"/>
              </w:rPr>
              <w:t xml:space="preserve">Целевые индикаторы </w:t>
            </w:r>
          </w:p>
        </w:tc>
        <w:tc>
          <w:tcPr>
            <w:tcW w:w="6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5" w:type="dxa"/>
            </w:tcMar>
          </w:tcPr>
          <w:p>
            <w:pPr>
              <w:pStyle w:val="ConsPlusNormal1"/>
              <w:widowControl/>
              <w:ind w:hanging="0"/>
              <w:jc w:val="both"/>
              <w:rPr>
                <w:rFonts w:ascii="Times New Roman" w:hAnsi="Times New Roman" w:cs="Times New Roman"/>
                <w:sz w:val="28"/>
                <w:szCs w:val="28"/>
              </w:rPr>
            </w:pPr>
            <w:r>
              <w:rPr>
                <w:rFonts w:cs="Times New Roman" w:ascii="Times New Roman" w:hAnsi="Times New Roman"/>
                <w:sz w:val="28"/>
                <w:szCs w:val="28"/>
              </w:rPr>
              <w:t>Перечень и значения целевых индикаторов приведены в приложении № 1</w:t>
            </w:r>
          </w:p>
        </w:tc>
      </w:tr>
      <w:tr>
        <w:trPr>
          <w:trHeight w:val="600" w:hRule="atLeast"/>
        </w:trPr>
        <w:tc>
          <w:tcPr>
            <w:tcW w:w="292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5" w:type="dxa"/>
            </w:tcMar>
          </w:tcPr>
          <w:p>
            <w:pPr>
              <w:pStyle w:val="ConsPlusCell"/>
              <w:rPr>
                <w:rFonts w:ascii="Times New Roman" w:hAnsi="Times New Roman" w:cs="Times New Roman"/>
                <w:sz w:val="28"/>
                <w:szCs w:val="28"/>
              </w:rPr>
            </w:pPr>
            <w:r>
              <w:rPr>
                <w:rFonts w:cs="Times New Roman" w:ascii="Times New Roman" w:hAnsi="Times New Roman"/>
                <w:sz w:val="28"/>
                <w:szCs w:val="28"/>
              </w:rPr>
              <w:t xml:space="preserve">Сроки          </w:t>
              <w:br/>
              <w:t xml:space="preserve">реализации             </w:t>
              <w:br/>
              <w:t xml:space="preserve">подпрограммы           </w:t>
            </w:r>
          </w:p>
        </w:tc>
        <w:tc>
          <w:tcPr>
            <w:tcW w:w="6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5" w:type="dxa"/>
            </w:tcMar>
          </w:tcPr>
          <w:p>
            <w:pPr>
              <w:pStyle w:val="ConsPlusCell"/>
              <w:jc w:val="both"/>
              <w:rPr>
                <w:rFonts w:ascii="Times New Roman" w:hAnsi="Times New Roman" w:cs="Times New Roman"/>
                <w:sz w:val="28"/>
                <w:szCs w:val="28"/>
              </w:rPr>
            </w:pPr>
            <w:r>
              <w:rPr>
                <w:rFonts w:cs="Times New Roman" w:ascii="Times New Roman" w:hAnsi="Times New Roman"/>
                <w:sz w:val="28"/>
                <w:szCs w:val="28"/>
              </w:rPr>
              <w:t>2014-2018 годы</w:t>
            </w:r>
          </w:p>
        </w:tc>
      </w:tr>
      <w:tr>
        <w:trPr>
          <w:trHeight w:val="684" w:hRule="atLeast"/>
        </w:trPr>
        <w:tc>
          <w:tcPr>
            <w:tcW w:w="292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5" w:type="dxa"/>
            </w:tcMar>
          </w:tcPr>
          <w:p>
            <w:pPr>
              <w:pStyle w:val="ConsPlusCell"/>
              <w:rPr>
                <w:rFonts w:ascii="Times New Roman" w:hAnsi="Times New Roman" w:cs="Times New Roman"/>
                <w:sz w:val="28"/>
                <w:szCs w:val="28"/>
              </w:rPr>
            </w:pPr>
            <w:r>
              <w:rPr>
                <w:rFonts w:cs="Times New Roman" w:ascii="Times New Roman" w:hAnsi="Times New Roman"/>
                <w:sz w:val="28"/>
                <w:szCs w:val="28"/>
              </w:rPr>
              <w:t>Объемы и источники финансирования</w:t>
              <w:br/>
              <w:t>в целом и по годам реализации подпрограммы</w:t>
            </w:r>
          </w:p>
        </w:tc>
        <w:tc>
          <w:tcPr>
            <w:tcW w:w="6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5" w:type="dxa"/>
            </w:tcMar>
          </w:tcPr>
          <w:p>
            <w:pPr>
              <w:pStyle w:val="Normal"/>
              <w:widowControl w:val="false"/>
              <w:overflowPunct w:val="false"/>
              <w:snapToGrid w:val="false"/>
              <w:spacing w:lineRule="auto" w:line="240" w:before="0" w:after="0"/>
              <w:ind w:right="72" w:hanging="0"/>
              <w:jc w:val="both"/>
              <w:textAlignment w:val="baseline"/>
              <w:rPr>
                <w:rFonts w:ascii="Times New Roman" w:hAnsi="Times New Roman" w:cs="Times New Roman"/>
                <w:sz w:val="28"/>
                <w:szCs w:val="28"/>
              </w:rPr>
            </w:pPr>
            <w:r>
              <w:rPr>
                <w:rFonts w:cs="Times New Roman" w:ascii="Times New Roman" w:hAnsi="Times New Roman"/>
                <w:sz w:val="28"/>
                <w:szCs w:val="28"/>
              </w:rPr>
              <w:t xml:space="preserve">Финансирование подпрограммы составит  </w:t>
            </w:r>
          </w:p>
          <w:p>
            <w:pPr>
              <w:pStyle w:val="Normal"/>
              <w:widowControl w:val="false"/>
              <w:overflowPunct w:val="false"/>
              <w:snapToGrid w:val="false"/>
              <w:spacing w:lineRule="auto" w:line="240" w:before="0" w:after="0"/>
              <w:ind w:right="72" w:hanging="0"/>
              <w:jc w:val="both"/>
              <w:textAlignment w:val="baseline"/>
              <w:rPr/>
            </w:pPr>
            <w:r>
              <w:rPr>
                <w:rFonts w:cs="Times New Roman" w:ascii="Times New Roman" w:hAnsi="Times New Roman"/>
                <w:sz w:val="28"/>
                <w:szCs w:val="28"/>
              </w:rPr>
              <w:t>1</w:t>
            </w:r>
            <w:r>
              <w:rPr>
                <w:rFonts w:cs="Times New Roman" w:ascii="Times New Roman" w:hAnsi="Times New Roman"/>
                <w:sz w:val="28"/>
                <w:szCs w:val="28"/>
              </w:rPr>
              <w:t>1 110 296</w:t>
            </w:r>
            <w:r>
              <w:rPr>
                <w:rFonts w:cs="Times New Roman" w:ascii="Times New Roman" w:hAnsi="Times New Roman"/>
                <w:sz w:val="28"/>
                <w:szCs w:val="28"/>
              </w:rPr>
              <w:t>,94 руб., в том числе:</w:t>
            </w:r>
          </w:p>
          <w:p>
            <w:pPr>
              <w:pStyle w:val="Normal"/>
              <w:widowControl w:val="false"/>
              <w:overflowPunct w:val="false"/>
              <w:snapToGrid w:val="false"/>
              <w:spacing w:lineRule="auto" w:line="240" w:before="0" w:after="0"/>
              <w:ind w:right="72" w:hanging="0"/>
              <w:jc w:val="both"/>
              <w:textAlignment w:val="baseline"/>
              <w:rPr/>
            </w:pPr>
            <w:r>
              <w:rPr>
                <w:rFonts w:cs="Times New Roman" w:ascii="Times New Roman" w:hAnsi="Times New Roman"/>
                <w:sz w:val="28"/>
                <w:szCs w:val="28"/>
              </w:rPr>
              <w:t xml:space="preserve">за счет средств федерального бюджета </w:t>
            </w:r>
            <w:r>
              <w:rPr>
                <w:rFonts w:cs="Times New Roman" w:ascii="Times New Roman" w:hAnsi="Times New Roman"/>
                <w:sz w:val="28"/>
                <w:szCs w:val="28"/>
              </w:rPr>
              <w:t>253 858</w:t>
            </w:r>
            <w:r>
              <w:rPr>
                <w:rFonts w:cs="Times New Roman" w:ascii="Times New Roman" w:hAnsi="Times New Roman"/>
                <w:sz w:val="28"/>
                <w:szCs w:val="28"/>
              </w:rPr>
              <w:t xml:space="preserve"> руб., </w:t>
            </w:r>
          </w:p>
          <w:p>
            <w:pPr>
              <w:pStyle w:val="Normal"/>
              <w:widowControl w:val="false"/>
              <w:overflowPunct w:val="false"/>
              <w:snapToGrid w:val="false"/>
              <w:spacing w:lineRule="auto" w:line="240" w:before="0" w:after="0"/>
              <w:ind w:right="72" w:hanging="0"/>
              <w:jc w:val="both"/>
              <w:textAlignment w:val="baseline"/>
              <w:rPr>
                <w:rFonts w:ascii="Times New Roman" w:hAnsi="Times New Roman" w:cs="Times New Roman"/>
                <w:sz w:val="28"/>
                <w:szCs w:val="28"/>
              </w:rPr>
            </w:pPr>
            <w:r>
              <w:rPr>
                <w:rFonts w:cs="Times New Roman" w:ascii="Times New Roman" w:hAnsi="Times New Roman"/>
                <w:sz w:val="28"/>
                <w:szCs w:val="28"/>
              </w:rPr>
              <w:t>их них:</w:t>
            </w:r>
          </w:p>
          <w:p>
            <w:pPr>
              <w:pStyle w:val="Normal"/>
              <w:widowControl w:val="false"/>
              <w:overflowPunct w:val="false"/>
              <w:snapToGrid w:val="false"/>
              <w:spacing w:lineRule="auto" w:line="240" w:before="0" w:after="0"/>
              <w:ind w:right="72" w:hanging="0"/>
              <w:jc w:val="both"/>
              <w:textAlignment w:val="baseline"/>
              <w:rPr/>
            </w:pPr>
            <w:r>
              <w:rPr>
                <w:rFonts w:cs="Times New Roman" w:ascii="Times New Roman" w:hAnsi="Times New Roman"/>
                <w:sz w:val="28"/>
                <w:szCs w:val="28"/>
              </w:rPr>
              <w:t>2014 год – 62 200 руб.;</w:t>
            </w:r>
          </w:p>
          <w:p>
            <w:pPr>
              <w:pStyle w:val="Normal"/>
              <w:widowControl w:val="false"/>
              <w:overflowPunct w:val="false"/>
              <w:snapToGrid w:val="false"/>
              <w:spacing w:lineRule="auto" w:line="240" w:before="0" w:after="0"/>
              <w:ind w:right="72" w:hanging="0"/>
              <w:jc w:val="both"/>
              <w:textAlignment w:val="baseline"/>
              <w:rPr/>
            </w:pPr>
            <w:r>
              <w:rPr>
                <w:rFonts w:cs="Times New Roman" w:ascii="Times New Roman" w:hAnsi="Times New Roman"/>
                <w:sz w:val="28"/>
                <w:szCs w:val="28"/>
              </w:rPr>
              <w:t>2015 год – 58 413 руб.;</w:t>
            </w:r>
          </w:p>
          <w:p>
            <w:pPr>
              <w:pStyle w:val="Normal"/>
              <w:widowControl w:val="false"/>
              <w:overflowPunct w:val="false"/>
              <w:snapToGrid w:val="false"/>
              <w:spacing w:lineRule="auto" w:line="240" w:before="0" w:after="0"/>
              <w:ind w:right="72" w:hanging="0"/>
              <w:jc w:val="both"/>
              <w:textAlignment w:val="baseline"/>
              <w:rPr/>
            </w:pPr>
            <w:r>
              <w:rPr>
                <w:rFonts w:cs="Times New Roman" w:ascii="Times New Roman" w:hAnsi="Times New Roman"/>
                <w:sz w:val="28"/>
                <w:szCs w:val="28"/>
              </w:rPr>
              <w:t xml:space="preserve">2016 год – </w:t>
            </w:r>
            <w:r>
              <w:rPr>
                <w:rFonts w:cs="Times New Roman" w:ascii="Times New Roman" w:hAnsi="Times New Roman"/>
                <w:sz w:val="28"/>
                <w:szCs w:val="28"/>
              </w:rPr>
              <w:t>65 945</w:t>
            </w:r>
            <w:r>
              <w:rPr>
                <w:rFonts w:cs="Times New Roman" w:ascii="Times New Roman" w:hAnsi="Times New Roman"/>
                <w:sz w:val="28"/>
                <w:szCs w:val="28"/>
              </w:rPr>
              <w:t xml:space="preserve"> руб.;</w:t>
            </w:r>
          </w:p>
          <w:p>
            <w:pPr>
              <w:pStyle w:val="Normal"/>
              <w:widowControl w:val="false"/>
              <w:overflowPunct w:val="false"/>
              <w:snapToGrid w:val="false"/>
              <w:spacing w:lineRule="auto" w:line="240" w:before="0" w:after="0"/>
              <w:ind w:right="72" w:hanging="0"/>
              <w:jc w:val="both"/>
              <w:textAlignment w:val="baseline"/>
              <w:rPr/>
            </w:pPr>
            <w:r>
              <w:rPr>
                <w:rFonts w:cs="Times New Roman" w:ascii="Times New Roman" w:hAnsi="Times New Roman"/>
                <w:sz w:val="28"/>
                <w:szCs w:val="28"/>
              </w:rPr>
              <w:t>2017 год – 67 300 руб.;</w:t>
            </w:r>
          </w:p>
          <w:p>
            <w:pPr>
              <w:pStyle w:val="Normal"/>
              <w:widowControl w:val="false"/>
              <w:overflowPunct w:val="false"/>
              <w:snapToGrid w:val="false"/>
              <w:spacing w:lineRule="auto" w:line="240" w:before="0" w:after="0"/>
              <w:ind w:right="72" w:hanging="0"/>
              <w:jc w:val="both"/>
              <w:textAlignment w:val="baseline"/>
              <w:rPr>
                <w:rFonts w:ascii="Times New Roman" w:hAnsi="Times New Roman" w:cs="Times New Roman"/>
                <w:sz w:val="28"/>
                <w:szCs w:val="28"/>
              </w:rPr>
            </w:pPr>
            <w:r>
              <w:rPr>
                <w:rFonts w:cs="Times New Roman" w:ascii="Times New Roman" w:hAnsi="Times New Roman"/>
                <w:sz w:val="28"/>
                <w:szCs w:val="28"/>
              </w:rPr>
              <w:t>2018 год – 0,00 руб.</w:t>
            </w:r>
          </w:p>
          <w:p>
            <w:pPr>
              <w:pStyle w:val="Normal"/>
              <w:widowControl w:val="false"/>
              <w:overflowPunct w:val="false"/>
              <w:snapToGrid w:val="false"/>
              <w:spacing w:lineRule="auto" w:line="240" w:before="0" w:after="0"/>
              <w:ind w:right="72" w:hanging="0"/>
              <w:jc w:val="both"/>
              <w:textAlignment w:val="baseline"/>
              <w:rPr/>
            </w:pPr>
            <w:r>
              <w:rPr>
                <w:rFonts w:cs="Times New Roman" w:ascii="Times New Roman" w:hAnsi="Times New Roman"/>
                <w:sz w:val="28"/>
                <w:szCs w:val="28"/>
              </w:rPr>
              <w:t xml:space="preserve">за счет средств краевого бюджета </w:t>
            </w:r>
            <w:r>
              <w:rPr>
                <w:rFonts w:cs="Times New Roman" w:ascii="Times New Roman" w:hAnsi="Times New Roman"/>
                <w:sz w:val="28"/>
                <w:szCs w:val="28"/>
              </w:rPr>
              <w:t>72 653,</w:t>
            </w:r>
            <w:r>
              <w:rPr>
                <w:rFonts w:cs="Times New Roman" w:ascii="Times New Roman" w:hAnsi="Times New Roman"/>
                <w:sz w:val="28"/>
                <w:szCs w:val="28"/>
              </w:rPr>
              <w:t>1 руб.,</w:t>
            </w:r>
          </w:p>
          <w:p>
            <w:pPr>
              <w:pStyle w:val="Normal"/>
              <w:widowControl w:val="false"/>
              <w:overflowPunct w:val="false"/>
              <w:snapToGrid w:val="false"/>
              <w:spacing w:lineRule="auto" w:line="240" w:before="0" w:after="0"/>
              <w:ind w:right="72" w:hanging="0"/>
              <w:jc w:val="both"/>
              <w:textAlignment w:val="baseline"/>
              <w:rPr>
                <w:rFonts w:ascii="Times New Roman" w:hAnsi="Times New Roman" w:cs="Times New Roman"/>
                <w:sz w:val="28"/>
                <w:szCs w:val="28"/>
              </w:rPr>
            </w:pPr>
            <w:r>
              <w:rPr>
                <w:rFonts w:cs="Times New Roman" w:ascii="Times New Roman" w:hAnsi="Times New Roman"/>
                <w:sz w:val="28"/>
                <w:szCs w:val="28"/>
              </w:rPr>
              <w:t>из них:</w:t>
            </w:r>
          </w:p>
          <w:p>
            <w:pPr>
              <w:pStyle w:val="Normal"/>
              <w:widowControl w:val="false"/>
              <w:overflowPunct w:val="false"/>
              <w:snapToGrid w:val="false"/>
              <w:spacing w:lineRule="auto" w:line="240" w:before="0" w:after="0"/>
              <w:ind w:right="72" w:hanging="0"/>
              <w:jc w:val="both"/>
              <w:textAlignment w:val="baseline"/>
              <w:rPr/>
            </w:pPr>
            <w:r>
              <w:rPr>
                <w:rFonts w:cs="Times New Roman" w:ascii="Times New Roman" w:hAnsi="Times New Roman"/>
                <w:sz w:val="28"/>
                <w:szCs w:val="28"/>
              </w:rPr>
              <w:t>2014 год – 10 799 руб.;</w:t>
            </w:r>
          </w:p>
          <w:p>
            <w:pPr>
              <w:pStyle w:val="Normal"/>
              <w:widowControl w:val="false"/>
              <w:overflowPunct w:val="false"/>
              <w:snapToGrid w:val="false"/>
              <w:spacing w:lineRule="auto" w:line="240" w:before="0" w:after="0"/>
              <w:ind w:right="72" w:hanging="0"/>
              <w:jc w:val="both"/>
              <w:textAlignment w:val="baseline"/>
              <w:rPr/>
            </w:pPr>
            <w:r>
              <w:rPr>
                <w:rFonts w:cs="Times New Roman" w:ascii="Times New Roman" w:hAnsi="Times New Roman"/>
                <w:sz w:val="28"/>
                <w:szCs w:val="28"/>
              </w:rPr>
              <w:t>2015 год – 52 863,1 руб.;</w:t>
            </w:r>
          </w:p>
          <w:p>
            <w:pPr>
              <w:pStyle w:val="Normal"/>
              <w:widowControl w:val="false"/>
              <w:overflowPunct w:val="false"/>
              <w:snapToGrid w:val="false"/>
              <w:spacing w:lineRule="auto" w:line="240" w:before="0" w:after="0"/>
              <w:ind w:right="72" w:hanging="0"/>
              <w:jc w:val="both"/>
              <w:textAlignment w:val="baseline"/>
              <w:rPr/>
            </w:pPr>
            <w:r>
              <w:rPr>
                <w:rFonts w:cs="Times New Roman" w:ascii="Times New Roman" w:hAnsi="Times New Roman"/>
                <w:sz w:val="28"/>
                <w:szCs w:val="28"/>
              </w:rPr>
              <w:t xml:space="preserve">2016 год – </w:t>
            </w:r>
            <w:r>
              <w:rPr>
                <w:rFonts w:cs="Times New Roman" w:ascii="Times New Roman" w:hAnsi="Times New Roman"/>
                <w:sz w:val="28"/>
                <w:szCs w:val="28"/>
              </w:rPr>
              <w:t>5 591</w:t>
            </w:r>
            <w:r>
              <w:rPr>
                <w:rFonts w:cs="Times New Roman" w:ascii="Times New Roman" w:hAnsi="Times New Roman"/>
                <w:sz w:val="28"/>
                <w:szCs w:val="28"/>
              </w:rPr>
              <w:t xml:space="preserve"> руб.;</w:t>
            </w:r>
          </w:p>
          <w:p>
            <w:pPr>
              <w:pStyle w:val="Normal"/>
              <w:widowControl w:val="false"/>
              <w:overflowPunct w:val="false"/>
              <w:snapToGrid w:val="false"/>
              <w:spacing w:lineRule="auto" w:line="240" w:before="0" w:after="0"/>
              <w:ind w:right="72" w:hanging="0"/>
              <w:jc w:val="both"/>
              <w:textAlignment w:val="baseline"/>
              <w:rPr/>
            </w:pPr>
            <w:r>
              <w:rPr>
                <w:rFonts w:cs="Times New Roman" w:ascii="Times New Roman" w:hAnsi="Times New Roman"/>
                <w:sz w:val="28"/>
                <w:szCs w:val="28"/>
              </w:rPr>
              <w:t>2017 год – 1 700 руб.;</w:t>
            </w:r>
          </w:p>
          <w:p>
            <w:pPr>
              <w:pStyle w:val="Normal"/>
              <w:widowControl w:val="false"/>
              <w:overflowPunct w:val="false"/>
              <w:snapToGrid w:val="false"/>
              <w:spacing w:lineRule="auto" w:line="240" w:before="0" w:after="0"/>
              <w:ind w:right="72" w:hanging="0"/>
              <w:jc w:val="both"/>
              <w:textAlignment w:val="baseline"/>
              <w:rPr/>
            </w:pPr>
            <w:r>
              <w:rPr>
                <w:rFonts w:cs="Times New Roman" w:ascii="Times New Roman" w:hAnsi="Times New Roman"/>
                <w:sz w:val="28"/>
                <w:szCs w:val="28"/>
              </w:rPr>
              <w:t>2018 год – 1 700 руб.</w:t>
            </w:r>
          </w:p>
          <w:p>
            <w:pPr>
              <w:pStyle w:val="Normal"/>
              <w:widowControl w:val="false"/>
              <w:overflowPunct w:val="false"/>
              <w:snapToGrid w:val="false"/>
              <w:spacing w:lineRule="auto" w:line="240" w:before="0" w:after="0"/>
              <w:ind w:right="72" w:hanging="0"/>
              <w:jc w:val="both"/>
              <w:textAlignment w:val="baseline"/>
              <w:rPr/>
            </w:pPr>
            <w:r>
              <w:rPr>
                <w:rFonts w:cs="Times New Roman" w:ascii="Times New Roman" w:hAnsi="Times New Roman"/>
                <w:sz w:val="28"/>
                <w:szCs w:val="28"/>
              </w:rPr>
              <w:t>за счет средств районного бюджета  10 648 руб.,                            из них:</w:t>
            </w:r>
          </w:p>
          <w:p>
            <w:pPr>
              <w:pStyle w:val="Normal"/>
              <w:widowControl w:val="false"/>
              <w:overflowPunct w:val="false"/>
              <w:snapToGrid w:val="false"/>
              <w:spacing w:lineRule="auto" w:line="240" w:before="0" w:after="0"/>
              <w:ind w:right="72" w:hanging="0"/>
              <w:jc w:val="both"/>
              <w:textAlignment w:val="baseline"/>
              <w:rPr/>
            </w:pPr>
            <w:r>
              <w:rPr>
                <w:rFonts w:cs="Times New Roman" w:ascii="Times New Roman" w:hAnsi="Times New Roman"/>
                <w:sz w:val="28"/>
                <w:szCs w:val="28"/>
              </w:rPr>
              <w:t>2014 год – 0,0 руб.;</w:t>
            </w:r>
          </w:p>
          <w:p>
            <w:pPr>
              <w:pStyle w:val="Normal"/>
              <w:widowControl w:val="false"/>
              <w:overflowPunct w:val="false"/>
              <w:snapToGrid w:val="false"/>
              <w:spacing w:lineRule="auto" w:line="240" w:before="0" w:after="0"/>
              <w:ind w:right="72" w:hanging="0"/>
              <w:jc w:val="both"/>
              <w:textAlignment w:val="baseline"/>
              <w:rPr/>
            </w:pPr>
            <w:r>
              <w:rPr>
                <w:rFonts w:cs="Times New Roman" w:ascii="Times New Roman" w:hAnsi="Times New Roman"/>
                <w:sz w:val="28"/>
                <w:szCs w:val="28"/>
              </w:rPr>
              <w:t>2015 год – 10 648 руб.;</w:t>
            </w:r>
          </w:p>
          <w:p>
            <w:pPr>
              <w:pStyle w:val="Normal"/>
              <w:widowControl w:val="false"/>
              <w:overflowPunct w:val="false"/>
              <w:snapToGrid w:val="false"/>
              <w:spacing w:lineRule="auto" w:line="240" w:before="0" w:after="0"/>
              <w:ind w:right="72" w:hanging="0"/>
              <w:jc w:val="both"/>
              <w:textAlignment w:val="baseline"/>
              <w:rPr/>
            </w:pPr>
            <w:r>
              <w:rPr>
                <w:rFonts w:cs="Times New Roman" w:ascii="Times New Roman" w:hAnsi="Times New Roman"/>
                <w:sz w:val="28"/>
                <w:szCs w:val="28"/>
              </w:rPr>
              <w:t>2016 год – 0,0 руб.;</w:t>
            </w:r>
          </w:p>
          <w:p>
            <w:pPr>
              <w:pStyle w:val="Normal"/>
              <w:widowControl w:val="false"/>
              <w:overflowPunct w:val="false"/>
              <w:snapToGrid w:val="false"/>
              <w:spacing w:lineRule="auto" w:line="240" w:before="0" w:after="0"/>
              <w:ind w:right="72" w:hanging="0"/>
              <w:jc w:val="both"/>
              <w:textAlignment w:val="baseline"/>
              <w:rPr/>
            </w:pPr>
            <w:r>
              <w:rPr>
                <w:rFonts w:cs="Times New Roman" w:ascii="Times New Roman" w:hAnsi="Times New Roman"/>
                <w:sz w:val="28"/>
                <w:szCs w:val="28"/>
              </w:rPr>
              <w:t>2017 год – 0,0 руб.;</w:t>
            </w:r>
          </w:p>
          <w:p>
            <w:pPr>
              <w:pStyle w:val="Normal"/>
              <w:widowControl w:val="false"/>
              <w:overflowPunct w:val="false"/>
              <w:snapToGrid w:val="false"/>
              <w:spacing w:lineRule="auto" w:line="240"/>
              <w:ind w:right="72" w:hanging="0"/>
              <w:jc w:val="both"/>
              <w:textAlignment w:val="baseline"/>
              <w:rPr/>
            </w:pPr>
            <w:r>
              <w:rPr>
                <w:rFonts w:cs="Times New Roman" w:ascii="Times New Roman" w:hAnsi="Times New Roman"/>
                <w:sz w:val="28"/>
                <w:szCs w:val="28"/>
              </w:rPr>
              <w:t>2018 год – 0,0 руб.</w:t>
            </w:r>
          </w:p>
          <w:p>
            <w:pPr>
              <w:pStyle w:val="Normal"/>
              <w:widowControl w:val="false"/>
              <w:overflowPunct w:val="false"/>
              <w:snapToGrid w:val="false"/>
              <w:spacing w:lineRule="auto" w:line="240"/>
              <w:ind w:right="72" w:hanging="0"/>
              <w:jc w:val="both"/>
              <w:textAlignment w:val="baseline"/>
              <w:rPr/>
            </w:pPr>
            <w:r>
              <w:rPr>
                <w:rFonts w:cs="Times New Roman" w:ascii="Times New Roman" w:hAnsi="Times New Roman"/>
                <w:sz w:val="28"/>
                <w:szCs w:val="28"/>
              </w:rPr>
              <w:t xml:space="preserve"> </w:t>
            </w:r>
            <w:r>
              <w:rPr>
                <w:rFonts w:cs="Times New Roman" w:ascii="Times New Roman" w:hAnsi="Times New Roman"/>
                <w:sz w:val="28"/>
                <w:szCs w:val="28"/>
              </w:rPr>
              <w:t xml:space="preserve">за счет средств бюджета поселения 10 </w:t>
            </w:r>
            <w:r>
              <w:rPr>
                <w:rFonts w:cs="Times New Roman" w:ascii="Times New Roman" w:hAnsi="Times New Roman"/>
                <w:sz w:val="28"/>
                <w:szCs w:val="28"/>
              </w:rPr>
              <w:t>783 785,84</w:t>
            </w:r>
            <w:r>
              <w:rPr>
                <w:rFonts w:cs="Times New Roman" w:ascii="Times New Roman" w:hAnsi="Times New Roman"/>
                <w:sz w:val="28"/>
                <w:szCs w:val="28"/>
              </w:rPr>
              <w:t xml:space="preserve"> руб.,                            из них:</w:t>
            </w:r>
          </w:p>
          <w:p>
            <w:pPr>
              <w:pStyle w:val="Normal"/>
              <w:widowControl w:val="false"/>
              <w:overflowPunct w:val="false"/>
              <w:snapToGrid w:val="false"/>
              <w:spacing w:lineRule="auto" w:line="240" w:before="0" w:after="0"/>
              <w:ind w:right="72" w:hanging="0"/>
              <w:jc w:val="both"/>
              <w:textAlignment w:val="baseline"/>
              <w:rPr/>
            </w:pPr>
            <w:r>
              <w:rPr>
                <w:rFonts w:cs="Times New Roman" w:ascii="Times New Roman" w:hAnsi="Times New Roman"/>
                <w:sz w:val="28"/>
                <w:szCs w:val="28"/>
              </w:rPr>
              <w:t>2014 год – 2 0</w:t>
            </w:r>
            <w:r>
              <w:rPr>
                <w:rFonts w:cs="Times New Roman" w:ascii="Times New Roman" w:hAnsi="Times New Roman"/>
                <w:sz w:val="28"/>
                <w:szCs w:val="28"/>
              </w:rPr>
              <w:t>06 074</w:t>
            </w:r>
            <w:r>
              <w:rPr>
                <w:rFonts w:cs="Times New Roman" w:ascii="Times New Roman" w:hAnsi="Times New Roman"/>
                <w:sz w:val="28"/>
                <w:szCs w:val="28"/>
              </w:rPr>
              <w:t>,78 руб.;</w:t>
            </w:r>
          </w:p>
          <w:p>
            <w:pPr>
              <w:pStyle w:val="Normal"/>
              <w:widowControl w:val="false"/>
              <w:overflowPunct w:val="false"/>
              <w:snapToGrid w:val="false"/>
              <w:spacing w:lineRule="auto" w:line="240" w:before="0" w:after="0"/>
              <w:ind w:right="72" w:hanging="0"/>
              <w:jc w:val="both"/>
              <w:textAlignment w:val="baseline"/>
              <w:rPr/>
            </w:pPr>
            <w:r>
              <w:rPr>
                <w:rFonts w:cs="Times New Roman" w:ascii="Times New Roman" w:hAnsi="Times New Roman"/>
                <w:sz w:val="28"/>
                <w:szCs w:val="28"/>
              </w:rPr>
              <w:t>2015 год – 2 114 067,06 руб.;</w:t>
            </w:r>
          </w:p>
          <w:p>
            <w:pPr>
              <w:pStyle w:val="Normal"/>
              <w:widowControl w:val="false"/>
              <w:overflowPunct w:val="false"/>
              <w:snapToGrid w:val="false"/>
              <w:spacing w:lineRule="auto" w:line="240" w:before="0" w:after="0"/>
              <w:ind w:right="72" w:hanging="0"/>
              <w:jc w:val="both"/>
              <w:textAlignment w:val="baseline"/>
              <w:rPr/>
            </w:pPr>
            <w:r>
              <w:rPr>
                <w:rFonts w:cs="Times New Roman" w:ascii="Times New Roman" w:hAnsi="Times New Roman"/>
                <w:sz w:val="28"/>
                <w:szCs w:val="28"/>
              </w:rPr>
              <w:t xml:space="preserve">2016 год – </w:t>
            </w:r>
            <w:r>
              <w:rPr>
                <w:rFonts w:cs="Times New Roman" w:ascii="Times New Roman" w:hAnsi="Times New Roman"/>
                <w:sz w:val="28"/>
                <w:szCs w:val="28"/>
              </w:rPr>
              <w:t>2 168 800</w:t>
            </w:r>
            <w:r>
              <w:rPr>
                <w:rFonts w:cs="Times New Roman" w:ascii="Times New Roman" w:hAnsi="Times New Roman"/>
                <w:sz w:val="28"/>
                <w:szCs w:val="28"/>
              </w:rPr>
              <w:t xml:space="preserve"> руб.;</w:t>
            </w:r>
          </w:p>
          <w:p>
            <w:pPr>
              <w:pStyle w:val="Normal"/>
              <w:widowControl w:val="false"/>
              <w:overflowPunct w:val="false"/>
              <w:snapToGrid w:val="false"/>
              <w:spacing w:lineRule="auto" w:line="240" w:before="0" w:after="0"/>
              <w:ind w:right="72" w:hanging="0"/>
              <w:jc w:val="both"/>
              <w:textAlignment w:val="baseline"/>
              <w:rPr/>
            </w:pPr>
            <w:r>
              <w:rPr>
                <w:rFonts w:cs="Times New Roman" w:ascii="Times New Roman" w:hAnsi="Times New Roman"/>
                <w:sz w:val="28"/>
                <w:szCs w:val="28"/>
              </w:rPr>
              <w:t>2017 год – 2 145 500 руб.;</w:t>
            </w:r>
          </w:p>
          <w:p>
            <w:pPr>
              <w:pStyle w:val="Normal"/>
              <w:widowControl w:val="false"/>
              <w:overflowPunct w:val="false"/>
              <w:snapToGrid w:val="false"/>
              <w:spacing w:lineRule="auto" w:line="240" w:before="0" w:after="200"/>
              <w:ind w:right="72" w:hanging="0"/>
              <w:jc w:val="both"/>
              <w:textAlignment w:val="baseline"/>
              <w:rPr/>
            </w:pPr>
            <w:r>
              <w:rPr>
                <w:rFonts w:cs="Times New Roman" w:ascii="Times New Roman" w:hAnsi="Times New Roman"/>
                <w:sz w:val="28"/>
                <w:szCs w:val="28"/>
              </w:rPr>
              <w:t>2018 год – 2 145 500 руб..</w:t>
            </w:r>
          </w:p>
        </w:tc>
      </w:tr>
      <w:tr>
        <w:trPr>
          <w:trHeight w:val="646" w:hRule="atLeast"/>
        </w:trPr>
        <w:tc>
          <w:tcPr>
            <w:tcW w:w="2924"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5" w:type="dxa"/>
            </w:tcMar>
          </w:tcPr>
          <w:p>
            <w:pPr>
              <w:pStyle w:val="ConsPlusCell"/>
              <w:rPr>
                <w:rFonts w:ascii="Times New Roman" w:hAnsi="Times New Roman" w:cs="Times New Roman"/>
                <w:sz w:val="28"/>
                <w:szCs w:val="28"/>
              </w:rPr>
            </w:pPr>
            <w:r>
              <w:rPr>
                <w:rFonts w:cs="Times New Roman" w:ascii="Times New Roman" w:hAnsi="Times New Roman"/>
                <w:sz w:val="28"/>
                <w:szCs w:val="28"/>
              </w:rPr>
              <w:t>Система организации контроля за исполнением подпрограммы</w:t>
            </w:r>
          </w:p>
        </w:tc>
        <w:tc>
          <w:tcPr>
            <w:tcW w:w="699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45" w:type="dxa"/>
            </w:tcMar>
          </w:tcPr>
          <w:p>
            <w:pPr>
              <w:pStyle w:val="ConsPlusCell"/>
              <w:jc w:val="both"/>
              <w:rPr>
                <w:rFonts w:ascii="Times New Roman" w:hAnsi="Times New Roman" w:cs="Times New Roman"/>
                <w:sz w:val="28"/>
                <w:szCs w:val="28"/>
              </w:rPr>
            </w:pPr>
            <w:r>
              <w:rPr>
                <w:rFonts w:cs="Times New Roman" w:ascii="Times New Roman" w:hAnsi="Times New Roman"/>
                <w:sz w:val="28"/>
                <w:szCs w:val="28"/>
              </w:rPr>
              <w:t>администрация сельсовета;</w:t>
            </w:r>
          </w:p>
          <w:p>
            <w:pPr>
              <w:pStyle w:val="ConsPlusCell"/>
              <w:jc w:val="both"/>
              <w:rPr>
                <w:rFonts w:ascii="Times New Roman" w:hAnsi="Times New Roman" w:cs="Times New Roman"/>
                <w:sz w:val="28"/>
                <w:szCs w:val="28"/>
              </w:rPr>
            </w:pPr>
            <w:r>
              <w:rPr>
                <w:rFonts w:cs="Times New Roman" w:ascii="Times New Roman" w:hAnsi="Times New Roman"/>
                <w:sz w:val="28"/>
                <w:szCs w:val="28"/>
              </w:rPr>
              <w:t>Контрольно-счетный орган Шарыповского района</w:t>
            </w:r>
          </w:p>
        </w:tc>
      </w:tr>
    </w:tbl>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Normal"/>
        <w:widowControl w:val="false"/>
        <w:spacing w:lineRule="auto" w:line="240" w:before="0" w:after="0"/>
        <w:jc w:val="both"/>
        <w:rPr>
          <w:rFonts w:ascii="Times New Roman" w:hAnsi="Times New Roman" w:cs="Times New Roman"/>
          <w:b/>
          <w:b/>
          <w:sz w:val="28"/>
          <w:szCs w:val="28"/>
        </w:rPr>
      </w:pPr>
      <w:r>
        <w:rPr>
          <w:rFonts w:cs="Times New Roman" w:ascii="Times New Roman" w:hAnsi="Times New Roman"/>
          <w:b/>
          <w:sz w:val="28"/>
          <w:szCs w:val="28"/>
        </w:rPr>
      </w:r>
    </w:p>
    <w:p>
      <w:pPr>
        <w:pStyle w:val="ListParagraph"/>
        <w:widowControl w:val="false"/>
        <w:numPr>
          <w:ilvl w:val="0"/>
          <w:numId w:val="1"/>
        </w:numPr>
        <w:spacing w:lineRule="auto" w:line="240" w:before="0" w:after="0"/>
        <w:ind w:left="0" w:hanging="0"/>
        <w:contextualSpacing/>
        <w:jc w:val="center"/>
        <w:rPr>
          <w:rFonts w:ascii="Times New Roman" w:hAnsi="Times New Roman" w:cs="Times New Roman"/>
          <w:b/>
          <w:b/>
          <w:sz w:val="28"/>
          <w:szCs w:val="28"/>
        </w:rPr>
      </w:pPr>
      <w:r>
        <w:rPr>
          <w:rFonts w:cs="Times New Roman" w:ascii="Times New Roman" w:hAnsi="Times New Roman"/>
          <w:b/>
          <w:sz w:val="28"/>
          <w:szCs w:val="28"/>
        </w:rPr>
        <w:t>ОСНОВНЫЕ РАЗДЕЛЫ ПОДПРОГРАММЫ</w:t>
      </w:r>
    </w:p>
    <w:p>
      <w:pPr>
        <w:pStyle w:val="ListParagraph"/>
        <w:widowControl w:val="false"/>
        <w:spacing w:lineRule="auto" w:line="240" w:before="0" w:after="0"/>
        <w:ind w:left="0" w:hanging="0"/>
        <w:contextualSpacing/>
        <w:jc w:val="center"/>
        <w:rPr>
          <w:rFonts w:ascii="Times New Roman" w:hAnsi="Times New Roman" w:cs="Times New Roman"/>
          <w:b/>
          <w:b/>
          <w:sz w:val="28"/>
          <w:szCs w:val="28"/>
        </w:rPr>
      </w:pPr>
      <w:r>
        <w:rPr>
          <w:rFonts w:cs="Times New Roman" w:ascii="Times New Roman" w:hAnsi="Times New Roman"/>
          <w:b/>
          <w:sz w:val="28"/>
          <w:szCs w:val="28"/>
        </w:rPr>
      </w:r>
    </w:p>
    <w:p>
      <w:pPr>
        <w:pStyle w:val="ListParagraph"/>
        <w:widowControl w:val="false"/>
        <w:numPr>
          <w:ilvl w:val="1"/>
          <w:numId w:val="1"/>
        </w:numPr>
        <w:spacing w:lineRule="auto" w:line="240" w:before="0" w:after="0"/>
        <w:ind w:left="0" w:hanging="0"/>
        <w:contextualSpacing/>
        <w:jc w:val="center"/>
        <w:rPr>
          <w:rFonts w:ascii="Times New Roman" w:hAnsi="Times New Roman" w:cs="Times New Roman"/>
          <w:i/>
          <w:i/>
          <w:sz w:val="28"/>
          <w:szCs w:val="28"/>
        </w:rPr>
      </w:pPr>
      <w:r>
        <w:rPr>
          <w:rFonts w:cs="Times New Roman" w:ascii="Times New Roman" w:hAnsi="Times New Roman"/>
          <w:i/>
          <w:sz w:val="28"/>
          <w:szCs w:val="28"/>
        </w:rPr>
        <w:t>Постановка проблемы и обоснование необходимости разработки подпрограммы</w:t>
      </w:r>
    </w:p>
    <w:p>
      <w:pPr>
        <w:pStyle w:val="ListParagraph"/>
        <w:widowControl w:val="false"/>
        <w:spacing w:lineRule="auto" w:line="240" w:before="0" w:after="0"/>
        <w:ind w:left="1440" w:hanging="0"/>
        <w:contextualSpacing/>
        <w:rPr>
          <w:rFonts w:ascii="Times New Roman" w:hAnsi="Times New Roman" w:cs="Times New Roman"/>
          <w:b/>
          <w:b/>
          <w:i/>
          <w:i/>
          <w:sz w:val="28"/>
          <w:szCs w:val="28"/>
        </w:rPr>
      </w:pPr>
      <w:r>
        <w:rPr>
          <w:rFonts w:cs="Times New Roman" w:ascii="Times New Roman" w:hAnsi="Times New Roman"/>
          <w:b/>
          <w:i/>
          <w:sz w:val="28"/>
          <w:szCs w:val="28"/>
        </w:rPr>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Система управления реализацией подпрограммы определяется Федеральным законом от 06.10.2003г. № 131-ФЗ «Об общих принципах организации местного самоуправления в Российской Федерации», Федеральным законом от 28.03.1998г. № 53-ФЗ «О воинской обязанности и военной службе», Законом края от 23.04.2009г. № 8-3170 «О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w:t>
      </w:r>
    </w:p>
    <w:p>
      <w:pPr>
        <w:pStyle w:val="Normal"/>
        <w:widowControl w:val="false"/>
        <w:spacing w:lineRule="auto" w:line="240" w:before="0" w:after="0"/>
        <w:ind w:firstLine="567"/>
        <w:jc w:val="both"/>
        <w:rPr/>
      </w:pPr>
      <w:r>
        <w:rPr>
          <w:rFonts w:cs="Times New Roman" w:ascii="Times New Roman" w:hAnsi="Times New Roman"/>
          <w:sz w:val="28"/>
          <w:szCs w:val="28"/>
        </w:rPr>
        <w:t>Шушенский сельсовет является в соответствии с Федеральным законом          от 06.10.2003года № 131-ФЗ «Об общих принципах организации местного самоуправления в Российской Федерации» самостоятельным муниципальным образованием, находящимся в границах Шарыповского района Красноярского края, местное самоуправление в котором осуществляется в соответствии с Конституцией Российской Федерации, федеральными законами, Уставом и законами Красноярского края.</w:t>
      </w:r>
    </w:p>
    <w:p>
      <w:pPr>
        <w:pStyle w:val="Normal"/>
        <w:widowControl w:val="false"/>
        <w:spacing w:lineRule="auto" w:line="240" w:before="0" w:after="0"/>
        <w:ind w:firstLine="567"/>
        <w:jc w:val="both"/>
        <w:rPr/>
      </w:pPr>
      <w:r>
        <w:rPr>
          <w:rFonts w:cs="Times New Roman" w:ascii="Times New Roman" w:hAnsi="Times New Roman"/>
          <w:sz w:val="28"/>
          <w:szCs w:val="28"/>
        </w:rPr>
        <w:t>Организация и осуществление местного самоуправления на территории Шушенского сельсовета в интересах населения с учетом исторических и иных местных традиций регулируется Уставом.</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Администрация сельсовета наделена отдельными государственными полномочиями в соответствии с федеральным и краевым законодательством, к которым относятся:</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осуществление первичного воинского учета;</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создание и обеспечение деятельности административных комиссий.</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Организация воинского учета граждан Российской Федерации, обязанных состоять на воинском учете регулируется в соответствии с Федеральным законом «О воинской обязанности и военной службе».</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Воинский учет предусматривается воинской обязанностью граждан и обеспечивается государственной системой регистрации призывных и мобилизационных людских ресурсов, в рамках которой осуществляется комплекс мероприятий по сбору, обобщению и анализу сведений об их количественном составе и качественном состоянии.</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xml:space="preserve">Воинским учетом на территории сельсовета занимается военно – учетный работник, в обязанности которого входит: </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организовывать и осуществлять первичный и воинский учет граждан, пребывающих в запасе, проживающих или прибывающих;</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вести учет граждан, подлежащих призыву на военную службу, нести ответственность за полноту, реальность и качество учета;</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выявлять, совместно с органами внутренних дел, граждан, проживающих или прибывающих на данной территории и подлежащих постановке на воинский учет;</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вести учет организаций, учреждений, учебных заведений, расположенных на территории сельсовета, и контролировать в них ведение воинского учета;</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оповещать призывников и граждан, пребывающих в запасе об их призыве в военный комиссариат и обеспечить своевременную явку по этому призыву.</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В 2009 году на территории сельсовета была создана административная комиссия.</w:t>
      </w:r>
    </w:p>
    <w:p>
      <w:pPr>
        <w:pStyle w:val="Normal"/>
        <w:widowControl w:val="false"/>
        <w:spacing w:lineRule="auto" w:line="240" w:before="0" w:after="0"/>
        <w:ind w:firstLine="567"/>
        <w:jc w:val="both"/>
        <w:rPr/>
      </w:pPr>
      <w:r>
        <w:rPr>
          <w:rFonts w:cs="Times New Roman" w:ascii="Times New Roman" w:hAnsi="Times New Roman"/>
          <w:sz w:val="28"/>
          <w:szCs w:val="28"/>
        </w:rPr>
        <w:t>Административная комиссия</w:t>
      </w:r>
      <w:r>
        <w:rPr>
          <w:rFonts w:eastAsia="Times New Roman" w:cs="Times New Roman" w:ascii="Times New Roman" w:hAnsi="Times New Roman"/>
          <w:sz w:val="28"/>
          <w:szCs w:val="28"/>
          <w:lang w:eastAsia="ru-RU"/>
        </w:rPr>
        <w:t xml:space="preserve"> администрации сельсовета в своей деятельности руководствуется Конституцией Российской Федерации, Кодексом Российской Федерации об административных правонарушениях от 30.12.2001 № 195-ФЗ, Федеральным законом от 06.10.2003 № 131-Ф3 "Об общих принципах организации местного самоуправления в Российской Федерации", законом Красноярского края от 02.10.2008 №7-2161 "Об административных правонарушениях», Законом Красноярского края от 23.04.2009 № 8-3168 «Об административных комиссиях в Красноярском крае», </w:t>
      </w:r>
      <w:r>
        <w:rPr>
          <w:rFonts w:cs="Times New Roman" w:ascii="Times New Roman" w:hAnsi="Times New Roman"/>
          <w:sz w:val="28"/>
          <w:szCs w:val="28"/>
        </w:rPr>
        <w:t xml:space="preserve">Законом Красноярского края от 23.04.2009г. № 8-3170 «О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 Решением Шушенского сельского Совета депутатов от </w:t>
      </w:r>
      <w:r>
        <w:rPr>
          <w:rFonts w:cs="Times New Roman" w:ascii="Times New Roman" w:hAnsi="Times New Roman"/>
          <w:sz w:val="28"/>
          <w:szCs w:val="28"/>
          <w:highlight w:val="white"/>
        </w:rPr>
        <w:t>30.09.2009 № 18</w:t>
      </w:r>
      <w:r>
        <w:rPr>
          <w:rFonts w:cs="Times New Roman" w:ascii="Times New Roman" w:hAnsi="Times New Roman"/>
          <w:sz w:val="28"/>
          <w:szCs w:val="28"/>
        </w:rPr>
        <w:t xml:space="preserve"> «Об административной комиссии муниципального образования Шушенский сельсовет». </w:t>
      </w:r>
    </w:p>
    <w:p>
      <w:pPr>
        <w:pStyle w:val="Normal"/>
        <w:widowControl w:val="false"/>
        <w:spacing w:lineRule="auto" w:line="240" w:before="0" w:after="0"/>
        <w:ind w:firstLine="567"/>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Задачами административной комиссии администрации сельсовета являются:</w:t>
      </w:r>
    </w:p>
    <w:p>
      <w:pPr>
        <w:pStyle w:val="Normal"/>
        <w:widowControl w:val="false"/>
        <w:spacing w:lineRule="auto" w:line="240" w:before="0" w:after="0"/>
        <w:ind w:firstLine="567"/>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своевременное, всестороннее, полное и объективное выяснение обстоятельств каждого дела об административном правонарушении;</w:t>
      </w:r>
    </w:p>
    <w:p>
      <w:pPr>
        <w:pStyle w:val="Normal"/>
        <w:widowControl w:val="false"/>
        <w:spacing w:lineRule="auto" w:line="240" w:before="0" w:after="0"/>
        <w:ind w:firstLine="567"/>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разрешение дела об административном правонарушении в точном соответствии с действующим законодательством;</w:t>
      </w:r>
    </w:p>
    <w:p>
      <w:pPr>
        <w:pStyle w:val="Normal"/>
        <w:widowControl w:val="false"/>
        <w:spacing w:lineRule="auto" w:line="240" w:before="0" w:after="0"/>
        <w:ind w:firstLine="567"/>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обеспечение исполнения вынесенного постановления по делу об административном правонарушении;</w:t>
      </w:r>
    </w:p>
    <w:p>
      <w:pPr>
        <w:pStyle w:val="Normal"/>
        <w:widowControl w:val="false"/>
        <w:spacing w:lineRule="auto" w:line="240" w:before="0" w:after="0"/>
        <w:ind w:firstLine="567"/>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выявление причин и условий, способствовавших совершению административных правонарушений.</w:t>
      </w:r>
    </w:p>
    <w:p>
      <w:pPr>
        <w:pStyle w:val="Normal"/>
        <w:widowControl w:val="false"/>
        <w:spacing w:lineRule="auto" w:line="240" w:before="0" w:after="0"/>
        <w:ind w:firstLine="567"/>
        <w:jc w:val="both"/>
        <w:rPr/>
      </w:pPr>
      <w:r>
        <w:rPr>
          <w:rFonts w:cs="Times New Roman" w:ascii="Times New Roman" w:hAnsi="Times New Roman"/>
          <w:sz w:val="28"/>
          <w:szCs w:val="28"/>
        </w:rPr>
        <w:t>За последние три года административной комиссией было рассмотрено 12 дел – в результате составлено 12 протоколов об административных правонарушениях без предъявления штрафных санкций.</w:t>
      </w:r>
    </w:p>
    <w:p>
      <w:pPr>
        <w:pStyle w:val="Normal"/>
        <w:widowControl w:val="false"/>
        <w:spacing w:lineRule="auto" w:line="240" w:before="0" w:after="0"/>
        <w:ind w:firstLine="567"/>
        <w:jc w:val="both"/>
        <w:rPr>
          <w:rFonts w:ascii="Times New Roman" w:hAnsi="Times New Roman" w:eastAsia="Times New Roman" w:cs="Times New Roman"/>
          <w:color w:val="333333"/>
          <w:sz w:val="28"/>
          <w:szCs w:val="28"/>
          <w:lang w:eastAsia="ru-RU"/>
        </w:rPr>
      </w:pPr>
      <w:r>
        <w:rPr>
          <w:rFonts w:eastAsia="Times New Roman" w:cs="Times New Roman" w:ascii="Times New Roman" w:hAnsi="Times New Roman"/>
          <w:color w:val="333333"/>
          <w:sz w:val="28"/>
          <w:szCs w:val="28"/>
          <w:lang w:eastAsia="ru-RU"/>
        </w:rPr>
      </w:r>
    </w:p>
    <w:p>
      <w:pPr>
        <w:pStyle w:val="ListParagraph"/>
        <w:widowControl w:val="false"/>
        <w:numPr>
          <w:ilvl w:val="1"/>
          <w:numId w:val="1"/>
        </w:numPr>
        <w:spacing w:lineRule="auto" w:line="240" w:before="0" w:after="0"/>
        <w:ind w:left="0" w:hanging="0"/>
        <w:contextualSpacing/>
        <w:jc w:val="center"/>
        <w:rPr>
          <w:rFonts w:ascii="Times New Roman" w:hAnsi="Times New Roman"/>
          <w:i/>
          <w:i/>
          <w:sz w:val="28"/>
          <w:szCs w:val="28"/>
        </w:rPr>
      </w:pPr>
      <w:r>
        <w:rPr>
          <w:rFonts w:ascii="Times New Roman" w:hAnsi="Times New Roman"/>
          <w:i/>
          <w:sz w:val="28"/>
          <w:szCs w:val="28"/>
        </w:rPr>
        <w:t>Основная цель, задачи, этапы и сроки выполнения подпрограммы, целевые индикаторы</w:t>
      </w:r>
    </w:p>
    <w:p>
      <w:pPr>
        <w:pStyle w:val="Normal"/>
        <w:widowControl w:val="false"/>
        <w:spacing w:lineRule="auto" w:line="240" w:before="0" w:after="0"/>
        <w:rPr>
          <w:rFonts w:ascii="Times New Roman" w:hAnsi="Times New Roman"/>
          <w:sz w:val="28"/>
          <w:szCs w:val="28"/>
        </w:rPr>
      </w:pPr>
      <w:r>
        <w:rPr>
          <w:rFonts w:ascii="Times New Roman" w:hAnsi="Times New Roman"/>
          <w:sz w:val="28"/>
          <w:szCs w:val="28"/>
        </w:rPr>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Целью подпрограммы является создание условий для выполнения полномочий по решению вопросов местного значения поселения и отдельных государственных полномочий.</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В рамках данной цели предполагается решение следующих задач:</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обеспечение деятельности аппарата администрации;</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осуществление первичного воинского учета;</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создание и обеспечение деятельности административных комиссий.</w:t>
      </w:r>
    </w:p>
    <w:p>
      <w:pPr>
        <w:pStyle w:val="Normal"/>
        <w:widowControl w:val="false"/>
        <w:spacing w:lineRule="auto" w:line="240" w:before="0" w:after="0"/>
        <w:ind w:firstLine="567"/>
        <w:jc w:val="both"/>
        <w:rPr>
          <w:rFonts w:ascii="Times New Roman" w:hAnsi="Times New Roman" w:cs="Times New Roman"/>
          <w:sz w:val="28"/>
          <w:szCs w:val="28"/>
        </w:rPr>
      </w:pPr>
      <w:r>
        <w:rPr>
          <w:rFonts w:ascii="Times New Roman" w:hAnsi="Times New Roman"/>
          <w:sz w:val="28"/>
          <w:szCs w:val="28"/>
        </w:rPr>
        <w:t>Сроки реализации подпрограммы 2014-2018 годы.</w:t>
      </w:r>
    </w:p>
    <w:p>
      <w:pPr>
        <w:pStyle w:val="Normal"/>
        <w:widowControl w:val="false"/>
        <w:spacing w:lineRule="auto" w:line="240" w:before="0" w:after="0"/>
        <w:ind w:firstLine="567"/>
        <w:jc w:val="both"/>
        <w:rPr>
          <w:rFonts w:ascii="Times New Roman" w:hAnsi="Times New Roman"/>
          <w:sz w:val="28"/>
          <w:szCs w:val="28"/>
        </w:rPr>
      </w:pPr>
      <w:r>
        <w:rPr>
          <w:rFonts w:ascii="Times New Roman" w:hAnsi="Times New Roman"/>
          <w:sz w:val="28"/>
          <w:szCs w:val="28"/>
        </w:rPr>
        <w:t>Оценка реализации подпрограммы производится по целевым индикаторам, представленным в приложении № 1 к настоящей подпрограмме.</w:t>
      </w:r>
    </w:p>
    <w:p>
      <w:pPr>
        <w:pStyle w:val="Normal"/>
        <w:widowControl w:val="false"/>
        <w:spacing w:lineRule="auto" w:line="240" w:before="0" w:after="0"/>
        <w:jc w:val="both"/>
        <w:rPr>
          <w:rFonts w:ascii="Times New Roman" w:hAnsi="Times New Roman"/>
          <w:sz w:val="28"/>
          <w:szCs w:val="28"/>
        </w:rPr>
      </w:pPr>
      <w:r>
        <w:rPr>
          <w:rFonts w:ascii="Times New Roman" w:hAnsi="Times New Roman"/>
          <w:sz w:val="28"/>
          <w:szCs w:val="28"/>
        </w:rPr>
      </w:r>
    </w:p>
    <w:p>
      <w:pPr>
        <w:pStyle w:val="ListParagraph"/>
        <w:widowControl w:val="false"/>
        <w:numPr>
          <w:ilvl w:val="1"/>
          <w:numId w:val="1"/>
        </w:numPr>
        <w:spacing w:lineRule="auto" w:line="240" w:before="0" w:after="0"/>
        <w:ind w:left="0" w:hanging="0"/>
        <w:contextualSpacing/>
        <w:jc w:val="center"/>
        <w:rPr>
          <w:rFonts w:ascii="Times New Roman" w:hAnsi="Times New Roman"/>
          <w:i/>
          <w:i/>
          <w:sz w:val="28"/>
          <w:szCs w:val="28"/>
        </w:rPr>
      </w:pPr>
      <w:r>
        <w:rPr>
          <w:rFonts w:ascii="Times New Roman" w:hAnsi="Times New Roman"/>
          <w:i/>
          <w:sz w:val="28"/>
          <w:szCs w:val="28"/>
        </w:rPr>
        <w:t>Механизм реализации подпрограммы</w:t>
      </w:r>
    </w:p>
    <w:p>
      <w:pPr>
        <w:pStyle w:val="Normal"/>
        <w:widowControl w:val="false"/>
        <w:spacing w:lineRule="auto" w:line="240" w:before="0" w:after="0"/>
        <w:jc w:val="both"/>
        <w:rPr>
          <w:rFonts w:ascii="Times New Roman" w:hAnsi="Times New Roman"/>
          <w:b/>
          <w:b/>
          <w:i/>
          <w:i/>
          <w:sz w:val="28"/>
          <w:szCs w:val="28"/>
        </w:rPr>
      </w:pPr>
      <w:r>
        <w:rPr>
          <w:rFonts w:ascii="Times New Roman" w:hAnsi="Times New Roman"/>
          <w:b/>
          <w:i/>
          <w:sz w:val="28"/>
          <w:szCs w:val="28"/>
        </w:rPr>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xml:space="preserve">Реализацию подпрограммы осуществляет администрация сельсовета. </w:t>
      </w:r>
    </w:p>
    <w:p>
      <w:pPr>
        <w:pStyle w:val="Normal"/>
        <w:widowControl w:val="false"/>
        <w:spacing w:lineRule="auto" w:line="240" w:before="0" w:after="0"/>
        <w:ind w:firstLine="567"/>
        <w:jc w:val="both"/>
        <w:rPr/>
      </w:pPr>
      <w:r>
        <w:rPr>
          <w:rFonts w:cs="Times New Roman" w:ascii="Times New Roman" w:hAnsi="Times New Roman"/>
          <w:sz w:val="28"/>
          <w:szCs w:val="28"/>
        </w:rPr>
        <w:t xml:space="preserve">Финансирование мероприятий подпрограммы осуществляется за счет средств федерального бюджета, краевого бюджета и бюджета поселения в соответствии с </w:t>
      </w:r>
      <w:hyperlink w:anchor="Par377">
        <w:r>
          <w:rPr>
            <w:rStyle w:val="Style13"/>
            <w:rFonts w:cs="Times New Roman" w:ascii="Times New Roman" w:hAnsi="Times New Roman"/>
            <w:sz w:val="28"/>
            <w:szCs w:val="28"/>
          </w:rPr>
          <w:t>мероприятиями</w:t>
        </w:r>
      </w:hyperlink>
      <w:r>
        <w:rPr>
          <w:rFonts w:cs="Times New Roman" w:ascii="Times New Roman" w:hAnsi="Times New Roman"/>
          <w:sz w:val="28"/>
          <w:szCs w:val="28"/>
        </w:rPr>
        <w:t xml:space="preserve"> подпрограммы согласно приложению № 2                     к подпрограмме (далее - мероприятия подпрограммы).</w:t>
      </w:r>
    </w:p>
    <w:p>
      <w:pPr>
        <w:pStyle w:val="Normal"/>
        <w:widowControl w:val="false"/>
        <w:spacing w:lineRule="auto" w:line="240" w:before="0" w:after="0"/>
        <w:ind w:right="57" w:firstLine="567"/>
        <w:jc w:val="both"/>
        <w:rPr>
          <w:rFonts w:ascii="Times New Roman" w:hAnsi="Times New Roman" w:cs="Times New Roman"/>
          <w:sz w:val="28"/>
          <w:szCs w:val="28"/>
        </w:rPr>
      </w:pPr>
      <w:r>
        <w:rPr>
          <w:rFonts w:cs="Times New Roman" w:ascii="Times New Roman" w:hAnsi="Times New Roman"/>
          <w:sz w:val="28"/>
          <w:szCs w:val="28"/>
        </w:rPr>
        <w:t>Главным распорядителем бюджетных средств является администрация сельсовета.</w:t>
      </w:r>
    </w:p>
    <w:p>
      <w:pPr>
        <w:pStyle w:val="Normal"/>
        <w:widowControl w:val="false"/>
        <w:spacing w:lineRule="auto" w:line="240" w:before="0" w:after="0"/>
        <w:ind w:right="57" w:firstLine="567"/>
        <w:jc w:val="both"/>
        <w:rPr>
          <w:rFonts w:ascii="Times New Roman" w:hAnsi="Times New Roman" w:cs="Times New Roman"/>
          <w:sz w:val="28"/>
          <w:szCs w:val="28"/>
        </w:rPr>
      </w:pPr>
      <w:r>
        <w:rPr>
          <w:rFonts w:cs="Times New Roman" w:ascii="Times New Roman" w:hAnsi="Times New Roman"/>
          <w:sz w:val="28"/>
          <w:szCs w:val="28"/>
        </w:rPr>
        <w:t>В рамках реализации мероприятия 1.1. «Руководство и управление в сфере установленных функций и полномочий органов местного самоуправления» предусматривается финансовое обеспечение деятельности администрации сельсовета:</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средства для компенсации трудозатрат, предназначенные для выплаты заработной платы;</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коммунальные расходы;</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материальные затраты (услуги связи, приобретение оргтехники,  канцелярских товаров);</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прочие расходы.</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В рамках реализации мероприятия 2.1. «Осуществление первичного воинского учета на территориях, где отсутствуют военные комиссариаты» осуществляется исполнение переданных государственных полномочий по первичному воинскому учету в соответствии с Федеральным законом                         от 28.03.1998 года № 53-ФЗ «О воинской обязанности и военной службе».</w:t>
      </w:r>
    </w:p>
    <w:p>
      <w:pPr>
        <w:pStyle w:val="Normal"/>
        <w:widowControl w:val="false"/>
        <w:spacing w:lineRule="auto" w:line="240" w:before="0" w:after="0"/>
        <w:ind w:firstLine="567"/>
        <w:jc w:val="both"/>
        <w:rPr/>
      </w:pPr>
      <w:r>
        <w:rPr>
          <w:rFonts w:cs="Times New Roman" w:ascii="Times New Roman" w:hAnsi="Times New Roman"/>
          <w:sz w:val="28"/>
          <w:szCs w:val="28"/>
        </w:rPr>
        <w:t>Первичный воинский учет в администрации Шушенского сельсовета ведет военно-учетный работник, в обязанности которого входят:</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осуществление первичного воинского учета граждан пребывающих в запасе и граждан подлежащих призыву на военную службу;</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ведение личных дел на лиц, подлежащих первоначальной постановке на воинский учет;</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ведение учета организаций, предприятий, учебных заведений, расположенных на территории сельсовета и контролирует ведение в них воинского учета;</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 оповещение призывников и граждан, пребывающих в запасе, о вызове в отдел Военного комиссариата Красноярского края по г. Шарыпово и Шарыповскому району и обеспечивает их своевременную явку, в том числе в период мобилизации.</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Финансовое обеспечение осуществляется из районного бюджета за счет субвенций из краевого бюджета в объеме, установленном Решением Шарыповского районного Совета депутатов «О районном бюджете на очередной год и плановый период».</w:t>
      </w:r>
    </w:p>
    <w:p>
      <w:pPr>
        <w:pStyle w:val="ConsPlusNormal2"/>
        <w:widowControl/>
        <w:ind w:firstLine="567"/>
        <w:jc w:val="both"/>
        <w:rPr>
          <w:rFonts w:ascii="Times New Roman" w:hAnsi="Times New Roman"/>
          <w:sz w:val="28"/>
          <w:szCs w:val="28"/>
        </w:rPr>
      </w:pPr>
      <w:r>
        <w:rPr>
          <w:rFonts w:ascii="Times New Roman" w:hAnsi="Times New Roman"/>
          <w:sz w:val="28"/>
          <w:szCs w:val="28"/>
        </w:rPr>
        <w:t xml:space="preserve">Расходование и учет средств субвенции осуществляется в соответствии                           с Порядком учета и расходования средств, установленным Постановлением администрации сельсовета. </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В рамках реализации мероприятия 3.1.</w:t>
      </w:r>
      <w:r>
        <w:rPr/>
        <w:t xml:space="preserve"> «</w:t>
      </w:r>
      <w:r>
        <w:rPr>
          <w:rFonts w:cs="Times New Roman" w:ascii="Times New Roman" w:hAnsi="Times New Roman"/>
          <w:sz w:val="28"/>
          <w:szCs w:val="28"/>
        </w:rPr>
        <w:t>Выполнение государственных полномочий по созданию и обеспечению деятельности административных комиссий» осуществляется исполнение переданных государственных полномочий на создание и обеспечение деятельности административных комиссий в соответствии с Законом края от 23.04.2009 года № 8-3170                         «О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w:t>
      </w:r>
    </w:p>
    <w:p>
      <w:pPr>
        <w:pStyle w:val="Normal"/>
        <w:widowControl w:val="false"/>
        <w:spacing w:lineRule="auto" w:line="240" w:before="0" w:after="0"/>
        <w:ind w:firstLine="567"/>
        <w:jc w:val="both"/>
        <w:rPr/>
      </w:pPr>
      <w:r>
        <w:rPr>
          <w:rFonts w:cs="Times New Roman" w:ascii="Times New Roman" w:hAnsi="Times New Roman"/>
          <w:sz w:val="28"/>
          <w:szCs w:val="28"/>
        </w:rPr>
        <w:t>Административная комиссия создана для рассмотрения дел об административных правонарушениях в порядке, установленном Кодексом Российской Федерации об административных правонарушениях. Административная комиссия действует на основании Регламента, утвержденного Решением Шушенского сельского Совета депутатов.</w:t>
      </w:r>
    </w:p>
    <w:p>
      <w:pPr>
        <w:pStyle w:val="Normal"/>
        <w:widowControl w:val="false"/>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Финансовое обеспечение осуществляется из районного бюджета за счет субвенций из краевого бюджета в объеме, установленном Законом Красноярского края от 02.12.2015г. № 9-3931 «О краевом бюджете на 2016 год и плановый период 2017-2018 годов».</w:t>
      </w:r>
    </w:p>
    <w:p>
      <w:pPr>
        <w:pStyle w:val="ConsPlusNormal2"/>
        <w:widowControl/>
        <w:ind w:firstLine="567"/>
        <w:jc w:val="both"/>
        <w:rPr>
          <w:rFonts w:ascii="Times New Roman" w:hAnsi="Times New Roman"/>
          <w:sz w:val="28"/>
          <w:szCs w:val="28"/>
        </w:rPr>
      </w:pPr>
      <w:r>
        <w:rPr>
          <w:rFonts w:ascii="Times New Roman" w:hAnsi="Times New Roman"/>
          <w:sz w:val="28"/>
          <w:szCs w:val="28"/>
        </w:rPr>
        <w:t xml:space="preserve">Расходование и учет средств субвенции осуществляется в соответствии                           с Порядком учета и расходования средств, установленным Постановлением администрации сельсовета. </w:t>
      </w:r>
    </w:p>
    <w:p>
      <w:pPr>
        <w:pStyle w:val="Normal"/>
        <w:widowControl w:val="false"/>
        <w:spacing w:lineRule="auto" w:line="240" w:before="0" w:after="0"/>
        <w:ind w:right="57" w:firstLine="567"/>
        <w:jc w:val="both"/>
        <w:rPr>
          <w:rFonts w:ascii="Times New Roman" w:hAnsi="Times New Roman" w:cs="Times New Roman"/>
          <w:sz w:val="28"/>
          <w:szCs w:val="28"/>
        </w:rPr>
      </w:pPr>
      <w:r>
        <w:rPr>
          <w:rFonts w:cs="Times New Roman" w:ascii="Times New Roman" w:hAnsi="Times New Roman"/>
          <w:sz w:val="28"/>
          <w:szCs w:val="28"/>
        </w:rPr>
        <w:t>Администрация сел</w:t>
      </w:r>
      <w:bookmarkStart w:id="0" w:name="_GoBack"/>
      <w:bookmarkEnd w:id="0"/>
      <w:r>
        <w:rPr>
          <w:rFonts w:cs="Times New Roman" w:ascii="Times New Roman" w:hAnsi="Times New Roman"/>
          <w:sz w:val="28"/>
          <w:szCs w:val="28"/>
        </w:rPr>
        <w:t>ьсовета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pPr>
        <w:pStyle w:val="ConsPlusCell"/>
        <w:jc w:val="both"/>
        <w:rPr>
          <w:rFonts w:ascii="Times New Roman" w:hAnsi="Times New Roman" w:cs="Times New Roman"/>
          <w:sz w:val="28"/>
          <w:szCs w:val="28"/>
        </w:rPr>
      </w:pPr>
      <w:r>
        <w:rPr>
          <w:rFonts w:cs="Times New Roman" w:ascii="Times New Roman" w:hAnsi="Times New Roman"/>
          <w:sz w:val="28"/>
          <w:szCs w:val="28"/>
        </w:rPr>
      </w:r>
    </w:p>
    <w:p>
      <w:pPr>
        <w:pStyle w:val="ListParagraph"/>
        <w:numPr>
          <w:ilvl w:val="1"/>
          <w:numId w:val="1"/>
        </w:numPr>
        <w:spacing w:lineRule="auto" w:line="240" w:before="0" w:after="0"/>
        <w:ind w:left="0" w:hanging="0"/>
        <w:contextualSpacing/>
        <w:jc w:val="center"/>
        <w:rPr>
          <w:rFonts w:ascii="Times New Roman" w:hAnsi="Times New Roman"/>
          <w:i/>
          <w:i/>
          <w:sz w:val="28"/>
          <w:szCs w:val="28"/>
        </w:rPr>
      </w:pPr>
      <w:r>
        <w:rPr>
          <w:rFonts w:ascii="Times New Roman" w:hAnsi="Times New Roman"/>
          <w:i/>
          <w:sz w:val="28"/>
          <w:szCs w:val="28"/>
        </w:rPr>
        <w:t>Управление подпрограммой и контроль за ходом ее выполнения</w:t>
      </w:r>
    </w:p>
    <w:p>
      <w:pPr>
        <w:pStyle w:val="Normal"/>
        <w:widowControl w:val="false"/>
        <w:spacing w:lineRule="auto" w:line="240" w:before="0" w:after="0"/>
        <w:jc w:val="both"/>
        <w:rPr>
          <w:rFonts w:ascii="Times New Roman" w:hAnsi="Times New Roman"/>
          <w:b/>
          <w:b/>
          <w:i/>
          <w:i/>
          <w:sz w:val="28"/>
          <w:szCs w:val="28"/>
        </w:rPr>
      </w:pPr>
      <w:r>
        <w:rPr>
          <w:rFonts w:ascii="Times New Roman" w:hAnsi="Times New Roman"/>
          <w:b/>
          <w:i/>
          <w:sz w:val="28"/>
          <w:szCs w:val="28"/>
        </w:rPr>
      </w:r>
    </w:p>
    <w:p>
      <w:pPr>
        <w:pStyle w:val="Normal"/>
        <w:widowControl w:val="false"/>
        <w:spacing w:lineRule="auto" w:line="240" w:before="0" w:after="0"/>
        <w:ind w:firstLine="567"/>
        <w:jc w:val="both"/>
        <w:rPr>
          <w:rFonts w:ascii="Times New Roman" w:hAnsi="Times New Roman" w:cs="Times New Roman"/>
          <w:b/>
          <w:b/>
          <w:bCs/>
          <w:i/>
          <w:i/>
          <w:iCs/>
          <w:sz w:val="28"/>
          <w:szCs w:val="28"/>
        </w:rPr>
      </w:pPr>
      <w:r>
        <w:rPr>
          <w:rFonts w:cs="Times New Roman" w:ascii="Times New Roman" w:hAnsi="Times New Roman"/>
          <w:sz w:val="28"/>
          <w:szCs w:val="28"/>
        </w:rPr>
        <w:t>1. Текущий контроль за ходом реализацией мероприятий подпрограммы осуществляется администрацией сельсовета путем осуществления ежеквартального мониторинга целевых индикаторов подпрограммы.</w:t>
      </w:r>
    </w:p>
    <w:p>
      <w:pPr>
        <w:pStyle w:val="Normal"/>
        <w:widowControl w:val="false"/>
        <w:spacing w:lineRule="auto" w:line="240" w:before="0" w:after="0"/>
        <w:ind w:firstLine="567"/>
        <w:jc w:val="both"/>
        <w:rPr>
          <w:rFonts w:ascii="Times New Roman" w:hAnsi="Times New Roman" w:cs="Times New Roman"/>
          <w:b/>
          <w:b/>
          <w:bCs/>
          <w:i/>
          <w:i/>
          <w:iCs/>
          <w:sz w:val="28"/>
          <w:szCs w:val="28"/>
        </w:rPr>
      </w:pPr>
      <w:r>
        <w:rPr>
          <w:rFonts w:cs="Times New Roman" w:ascii="Times New Roman" w:hAnsi="Times New Roman"/>
          <w:sz w:val="28"/>
          <w:szCs w:val="28"/>
        </w:rPr>
        <w:t>Администрация сельсовета</w:t>
      </w:r>
      <w:r>
        <w:rPr>
          <w:rFonts w:cs="Times New Roman" w:ascii="Times New Roman" w:hAnsi="Times New Roman"/>
          <w:sz w:val="28"/>
          <w:szCs w:val="28"/>
          <w:lang w:eastAsia="ru-RU"/>
        </w:rPr>
        <w:t xml:space="preserve"> осуществляет:</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координацию исполнения мероприятий подпрограммы, мониторинг их реализации;</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непосредственный контроль за ходом реализации мероприятий подпрограммы;</w:t>
      </w:r>
    </w:p>
    <w:p>
      <w:pPr>
        <w:pStyle w:val="Normal"/>
        <w:spacing w:lineRule="auto" w:line="240" w:before="0" w:after="0"/>
        <w:ind w:firstLine="567"/>
        <w:jc w:val="both"/>
        <w:rPr>
          <w:rFonts w:ascii="Times New Roman" w:hAnsi="Times New Roman" w:cs="Times New Roman"/>
          <w:color w:val="C00000"/>
          <w:sz w:val="28"/>
          <w:szCs w:val="28"/>
        </w:rPr>
      </w:pPr>
      <w:r>
        <w:rPr>
          <w:rFonts w:cs="Times New Roman" w:ascii="Times New Roman" w:hAnsi="Times New Roman"/>
          <w:sz w:val="28"/>
          <w:szCs w:val="28"/>
        </w:rPr>
        <w:t>подготовку отчетов о реализации мероприятий подпрограммы.</w:t>
      </w:r>
    </w:p>
    <w:p>
      <w:pPr>
        <w:pStyle w:val="Normal"/>
        <w:widowControl w:val="false"/>
        <w:spacing w:lineRule="auto" w:line="240" w:before="0" w:after="0"/>
        <w:ind w:firstLine="567"/>
        <w:jc w:val="both"/>
        <w:rPr>
          <w:rFonts w:ascii="Times New Roman" w:hAnsi="Times New Roman" w:cs="Times New Roman"/>
          <w:b/>
          <w:b/>
          <w:bCs/>
          <w:i/>
          <w:i/>
          <w:iCs/>
          <w:sz w:val="28"/>
          <w:szCs w:val="28"/>
        </w:rPr>
      </w:pPr>
      <w:r>
        <w:rPr>
          <w:rFonts w:cs="Times New Roman" w:ascii="Times New Roman" w:hAnsi="Times New Roman"/>
          <w:sz w:val="28"/>
          <w:szCs w:val="28"/>
        </w:rPr>
        <w:t>2. Контроль за законностью, результативностью (эффективностью и экономностью) использования средств бюджета поселения на реализацию мероприятий подпрограммы осуществляется Контрольно-счетным органом Шарыповского района.</w:t>
      </w:r>
    </w:p>
    <w:p>
      <w:pPr>
        <w:pStyle w:val="Normal"/>
        <w:widowControl w:val="false"/>
        <w:spacing w:lineRule="auto" w:line="240" w:before="0" w:after="0"/>
        <w:jc w:val="both"/>
        <w:rPr>
          <w:rFonts w:ascii="Times New Roman" w:hAnsi="Times New Roman"/>
          <w:sz w:val="28"/>
          <w:szCs w:val="28"/>
        </w:rPr>
      </w:pPr>
      <w:r>
        <w:rPr>
          <w:rFonts w:ascii="Times New Roman" w:hAnsi="Times New Roman"/>
          <w:sz w:val="28"/>
          <w:szCs w:val="28"/>
        </w:rPr>
      </w:r>
    </w:p>
    <w:p>
      <w:pPr>
        <w:pStyle w:val="ListParagraph"/>
        <w:widowControl w:val="false"/>
        <w:numPr>
          <w:ilvl w:val="1"/>
          <w:numId w:val="1"/>
        </w:numPr>
        <w:spacing w:lineRule="auto" w:line="240" w:before="0" w:after="0"/>
        <w:ind w:left="0" w:hanging="0"/>
        <w:contextualSpacing/>
        <w:jc w:val="center"/>
        <w:rPr>
          <w:rFonts w:ascii="Times New Roman" w:hAnsi="Times New Roman"/>
          <w:i/>
          <w:i/>
          <w:sz w:val="28"/>
          <w:szCs w:val="28"/>
        </w:rPr>
      </w:pPr>
      <w:r>
        <w:rPr>
          <w:rFonts w:ascii="Times New Roman" w:hAnsi="Times New Roman"/>
          <w:i/>
          <w:sz w:val="28"/>
          <w:szCs w:val="28"/>
        </w:rPr>
        <w:t>Оценка социально-экономической эффективности</w:t>
      </w:r>
    </w:p>
    <w:p>
      <w:pPr>
        <w:pStyle w:val="ListParagraph"/>
        <w:widowControl w:val="false"/>
        <w:spacing w:lineRule="auto" w:line="240" w:before="0" w:after="0"/>
        <w:ind w:left="1440" w:hanging="0"/>
        <w:contextualSpacing/>
        <w:jc w:val="both"/>
        <w:rPr>
          <w:rFonts w:ascii="Times New Roman" w:hAnsi="Times New Roman"/>
          <w:b/>
          <w:b/>
          <w:i/>
          <w:i/>
          <w:sz w:val="28"/>
          <w:szCs w:val="28"/>
        </w:rPr>
      </w:pPr>
      <w:r>
        <w:rPr>
          <w:rFonts w:ascii="Times New Roman" w:hAnsi="Times New Roman"/>
          <w:b/>
          <w:i/>
          <w:sz w:val="28"/>
          <w:szCs w:val="28"/>
        </w:rPr>
      </w:r>
    </w:p>
    <w:p>
      <w:pPr>
        <w:pStyle w:val="Normal"/>
        <w:widowControl w:val="false"/>
        <w:spacing w:lineRule="auto" w:line="240" w:before="0" w:after="0"/>
        <w:ind w:firstLine="567"/>
        <w:jc w:val="both"/>
        <w:rPr>
          <w:rFonts w:ascii="Times New Roman" w:hAnsi="Times New Roman" w:cs="Times New Roman"/>
          <w:sz w:val="28"/>
          <w:szCs w:val="28"/>
        </w:rPr>
      </w:pPr>
      <w:r>
        <w:rPr>
          <w:rFonts w:ascii="Times New Roman" w:hAnsi="Times New Roman"/>
          <w:sz w:val="28"/>
          <w:szCs w:val="28"/>
        </w:rPr>
        <w:t>Реализация мероприятий подпрограммы позволит к 2018 году повысить  эффективность управления бюджетными средствами и муниципального имущества в части полномочий по решению вопросов реализации программы, совершенствование системы оплаты труда, повышение качества межведомственного и межуправленческого взаимодействия</w:t>
      </w:r>
      <w:r>
        <w:rPr>
          <w:rFonts w:cs="Times New Roman" w:ascii="Times New Roman" w:hAnsi="Times New Roman"/>
          <w:sz w:val="28"/>
          <w:szCs w:val="28"/>
        </w:rPr>
        <w:t>.</w:t>
      </w:r>
    </w:p>
    <w:p>
      <w:pPr>
        <w:pStyle w:val="Normal"/>
        <w:widowControl w:val="false"/>
        <w:spacing w:lineRule="auto" w:line="240" w:before="0" w:after="0"/>
        <w:jc w:val="both"/>
        <w:rPr>
          <w:rFonts w:ascii="Times New Roman" w:hAnsi="Times New Roman"/>
          <w:sz w:val="28"/>
          <w:szCs w:val="28"/>
        </w:rPr>
      </w:pPr>
      <w:r>
        <w:rPr>
          <w:rFonts w:ascii="Times New Roman" w:hAnsi="Times New Roman"/>
          <w:sz w:val="28"/>
          <w:szCs w:val="28"/>
        </w:rPr>
      </w:r>
    </w:p>
    <w:p>
      <w:pPr>
        <w:pStyle w:val="ListParagraph"/>
        <w:widowControl w:val="false"/>
        <w:numPr>
          <w:ilvl w:val="1"/>
          <w:numId w:val="1"/>
        </w:numPr>
        <w:spacing w:lineRule="auto" w:line="240" w:before="0" w:after="0"/>
        <w:ind w:left="0" w:hanging="0"/>
        <w:contextualSpacing/>
        <w:jc w:val="center"/>
        <w:rPr>
          <w:rFonts w:ascii="Times New Roman" w:hAnsi="Times New Roman"/>
          <w:i/>
          <w:i/>
          <w:sz w:val="28"/>
          <w:szCs w:val="28"/>
        </w:rPr>
      </w:pPr>
      <w:r>
        <w:rPr>
          <w:rFonts w:ascii="Times New Roman" w:hAnsi="Times New Roman"/>
          <w:i/>
          <w:sz w:val="28"/>
          <w:szCs w:val="28"/>
        </w:rPr>
        <w:t>Мероприятия подпрограммы</w:t>
      </w:r>
    </w:p>
    <w:p>
      <w:pPr>
        <w:pStyle w:val="ListParagraph"/>
        <w:widowControl w:val="false"/>
        <w:spacing w:lineRule="auto" w:line="240" w:before="0" w:after="0"/>
        <w:ind w:left="2160" w:hanging="0"/>
        <w:contextualSpacing/>
        <w:rPr>
          <w:rFonts w:ascii="Times New Roman" w:hAnsi="Times New Roman"/>
          <w:b/>
          <w:b/>
          <w:i/>
          <w:i/>
          <w:sz w:val="28"/>
          <w:szCs w:val="28"/>
        </w:rPr>
      </w:pPr>
      <w:r>
        <w:rPr>
          <w:rFonts w:ascii="Times New Roman" w:hAnsi="Times New Roman"/>
          <w:b/>
          <w:i/>
          <w:sz w:val="28"/>
          <w:szCs w:val="28"/>
        </w:rPr>
      </w:r>
    </w:p>
    <w:p>
      <w:pPr>
        <w:pStyle w:val="Normal"/>
        <w:widowControl w:val="false"/>
        <w:spacing w:lineRule="auto" w:line="240" w:before="0" w:after="0"/>
        <w:ind w:firstLine="567"/>
        <w:jc w:val="both"/>
        <w:rPr>
          <w:rFonts w:ascii="Times New Roman" w:hAnsi="Times New Roman"/>
          <w:sz w:val="28"/>
          <w:szCs w:val="28"/>
        </w:rPr>
      </w:pPr>
      <w:r>
        <w:rPr>
          <w:rFonts w:ascii="Times New Roman" w:hAnsi="Times New Roman"/>
          <w:sz w:val="28"/>
          <w:szCs w:val="28"/>
        </w:rPr>
        <w:t xml:space="preserve">Перечень подпрограммных мероприятий представлен в приложении № 2                     </w:t>
      </w:r>
      <w:r>
        <w:rPr>
          <w:rFonts w:ascii="Times New Roman" w:hAnsi="Times New Roman"/>
          <w:vanish/>
          <w:sz w:val="28"/>
          <w:szCs w:val="28"/>
        </w:rPr>
        <w:t>чень мероприятий подпрограммы приведен в приложении № 2 к настоящей подпрограмме</w:t>
      </w:r>
      <w:r>
        <w:rPr>
          <w:rFonts w:ascii="Times New Roman" w:hAnsi="Times New Roman"/>
          <w:sz w:val="28"/>
          <w:szCs w:val="28"/>
        </w:rPr>
        <w:t>к подпрограмме.</w:t>
      </w:r>
    </w:p>
    <w:p>
      <w:pPr>
        <w:pStyle w:val="Normal"/>
        <w:widowControl w:val="false"/>
        <w:spacing w:lineRule="auto" w:line="240" w:before="0" w:after="0"/>
        <w:jc w:val="both"/>
        <w:rPr>
          <w:rFonts w:ascii="Times New Roman" w:hAnsi="Times New Roman"/>
          <w:sz w:val="28"/>
          <w:szCs w:val="28"/>
        </w:rPr>
      </w:pPr>
      <w:r>
        <w:rPr>
          <w:rFonts w:ascii="Times New Roman" w:hAnsi="Times New Roman"/>
          <w:sz w:val="28"/>
          <w:szCs w:val="28"/>
        </w:rPr>
      </w:r>
    </w:p>
    <w:p>
      <w:pPr>
        <w:pStyle w:val="ListParagraph"/>
        <w:widowControl w:val="false"/>
        <w:numPr>
          <w:ilvl w:val="1"/>
          <w:numId w:val="1"/>
        </w:numPr>
        <w:spacing w:lineRule="auto" w:line="240" w:before="0" w:after="0"/>
        <w:ind w:left="0" w:hanging="0"/>
        <w:contextualSpacing/>
        <w:jc w:val="center"/>
        <w:rPr>
          <w:rFonts w:ascii="Times New Roman" w:hAnsi="Times New Roman"/>
          <w:i/>
          <w:i/>
          <w:sz w:val="28"/>
          <w:szCs w:val="28"/>
        </w:rPr>
      </w:pPr>
      <w:r>
        <w:rPr>
          <w:rFonts w:ascii="Times New Roman" w:hAnsi="Times New Roman"/>
          <w:i/>
          <w:sz w:val="28"/>
          <w:szCs w:val="28"/>
        </w:rPr>
        <w:t>Обоснование финансовых затрат (ресурсное обеспечение подпрограммы) с указанием источников финансирования</w:t>
      </w:r>
    </w:p>
    <w:p>
      <w:pPr>
        <w:pStyle w:val="Normal"/>
        <w:widowControl w:val="false"/>
        <w:spacing w:lineRule="auto" w:line="240" w:before="0" w:after="0"/>
        <w:rPr>
          <w:rFonts w:ascii="Times New Roman" w:hAnsi="Times New Roman"/>
          <w:b/>
          <w:b/>
          <w:i/>
          <w:i/>
          <w:sz w:val="28"/>
          <w:szCs w:val="28"/>
        </w:rPr>
      </w:pPr>
      <w:r>
        <w:rPr>
          <w:rFonts w:ascii="Times New Roman" w:hAnsi="Times New Roman"/>
          <w:b/>
          <w:i/>
          <w:sz w:val="28"/>
          <w:szCs w:val="28"/>
        </w:rPr>
      </w:r>
    </w:p>
    <w:p>
      <w:pPr>
        <w:pStyle w:val="Normal"/>
        <w:widowControl w:val="false"/>
        <w:spacing w:lineRule="auto" w:line="240" w:before="0" w:after="0"/>
        <w:ind w:firstLine="567"/>
        <w:jc w:val="both"/>
        <w:rPr>
          <w:rFonts w:ascii="Times New Roman" w:hAnsi="Times New Roman"/>
          <w:sz w:val="28"/>
          <w:szCs w:val="28"/>
        </w:rPr>
      </w:pPr>
      <w:r>
        <w:rPr>
          <w:rFonts w:ascii="Times New Roman" w:hAnsi="Times New Roman"/>
          <w:sz w:val="28"/>
          <w:szCs w:val="28"/>
        </w:rPr>
        <w:t>Источниками финансирования подпрограммы являются средства федерального бюджета, краевого бюджета и бюджета поселения.</w:t>
      </w:r>
    </w:p>
    <w:p>
      <w:pPr>
        <w:pStyle w:val="Normal"/>
        <w:widowControl w:val="false"/>
        <w:overflowPunct w:val="false"/>
        <w:snapToGrid w:val="false"/>
        <w:spacing w:lineRule="auto" w:line="240" w:before="0" w:after="0"/>
        <w:ind w:right="72" w:firstLine="567"/>
        <w:jc w:val="both"/>
        <w:textAlignment w:val="baseline"/>
        <w:rPr/>
      </w:pPr>
      <w:r>
        <w:rPr>
          <w:rFonts w:cs="Times New Roman" w:ascii="Times New Roman" w:hAnsi="Times New Roman"/>
          <w:sz w:val="28"/>
          <w:szCs w:val="28"/>
        </w:rPr>
        <w:t>Финансирование подпрограммы составит  10 906 563,94 руб., в том числе:</w:t>
      </w:r>
    </w:p>
    <w:p>
      <w:pPr>
        <w:pStyle w:val="Normal"/>
        <w:widowControl w:val="false"/>
        <w:overflowPunct w:val="false"/>
        <w:snapToGrid w:val="false"/>
        <w:spacing w:lineRule="auto" w:line="240" w:before="0" w:after="0"/>
        <w:ind w:right="72" w:firstLine="567"/>
        <w:jc w:val="both"/>
        <w:textAlignment w:val="baseline"/>
        <w:rPr/>
      </w:pPr>
      <w:r>
        <w:rPr>
          <w:rFonts w:cs="Times New Roman" w:ascii="Times New Roman" w:hAnsi="Times New Roman"/>
          <w:sz w:val="28"/>
          <w:szCs w:val="28"/>
        </w:rPr>
        <w:t>за счет средств федерального бюджета 258 713 руб.,</w:t>
      </w:r>
    </w:p>
    <w:p>
      <w:pPr>
        <w:pStyle w:val="Normal"/>
        <w:widowControl w:val="false"/>
        <w:overflowPunct w:val="false"/>
        <w:snapToGrid w:val="false"/>
        <w:spacing w:lineRule="auto" w:line="240" w:before="0" w:after="0"/>
        <w:ind w:right="72" w:firstLine="567"/>
        <w:jc w:val="both"/>
        <w:textAlignment w:val="baseline"/>
        <w:rPr>
          <w:rFonts w:ascii="Times New Roman" w:hAnsi="Times New Roman" w:cs="Times New Roman"/>
          <w:sz w:val="28"/>
          <w:szCs w:val="28"/>
        </w:rPr>
      </w:pPr>
      <w:r>
        <w:rPr>
          <w:rFonts w:cs="Times New Roman" w:ascii="Times New Roman" w:hAnsi="Times New Roman"/>
          <w:sz w:val="28"/>
          <w:szCs w:val="28"/>
        </w:rPr>
        <w:t>из них:</w:t>
      </w:r>
    </w:p>
    <w:p>
      <w:pPr>
        <w:pStyle w:val="Normal"/>
        <w:widowControl w:val="false"/>
        <w:overflowPunct w:val="false"/>
        <w:snapToGrid w:val="false"/>
        <w:spacing w:lineRule="auto" w:line="240" w:before="0" w:after="0"/>
        <w:ind w:right="72" w:firstLine="567"/>
        <w:jc w:val="both"/>
        <w:textAlignment w:val="baseline"/>
        <w:rPr/>
      </w:pPr>
      <w:r>
        <w:rPr>
          <w:rFonts w:cs="Times New Roman" w:ascii="Times New Roman" w:hAnsi="Times New Roman"/>
          <w:sz w:val="28"/>
          <w:szCs w:val="28"/>
        </w:rPr>
        <w:t>2014 год – 62 200 руб.;</w:t>
      </w:r>
    </w:p>
    <w:p>
      <w:pPr>
        <w:pStyle w:val="Normal"/>
        <w:widowControl w:val="false"/>
        <w:overflowPunct w:val="false"/>
        <w:snapToGrid w:val="false"/>
        <w:spacing w:lineRule="auto" w:line="240" w:before="0" w:after="0"/>
        <w:ind w:right="72" w:firstLine="567"/>
        <w:jc w:val="both"/>
        <w:textAlignment w:val="baseline"/>
        <w:rPr/>
      </w:pPr>
      <w:r>
        <w:rPr>
          <w:rFonts w:cs="Times New Roman" w:ascii="Times New Roman" w:hAnsi="Times New Roman"/>
          <w:sz w:val="28"/>
          <w:szCs w:val="28"/>
        </w:rPr>
        <w:t>2015 год – 58 413 руб.;</w:t>
      </w:r>
    </w:p>
    <w:p>
      <w:pPr>
        <w:pStyle w:val="Normal"/>
        <w:widowControl w:val="false"/>
        <w:overflowPunct w:val="false"/>
        <w:snapToGrid w:val="false"/>
        <w:spacing w:lineRule="auto" w:line="240" w:before="0" w:after="0"/>
        <w:ind w:right="72" w:firstLine="567"/>
        <w:jc w:val="both"/>
        <w:textAlignment w:val="baseline"/>
        <w:rPr/>
      </w:pPr>
      <w:r>
        <w:rPr>
          <w:rFonts w:cs="Times New Roman" w:ascii="Times New Roman" w:hAnsi="Times New Roman"/>
          <w:sz w:val="28"/>
          <w:szCs w:val="28"/>
        </w:rPr>
        <w:t>2016 год – 70 800 руб.;</w:t>
      </w:r>
    </w:p>
    <w:p>
      <w:pPr>
        <w:pStyle w:val="Normal"/>
        <w:widowControl w:val="false"/>
        <w:overflowPunct w:val="false"/>
        <w:snapToGrid w:val="false"/>
        <w:spacing w:lineRule="auto" w:line="240" w:before="0" w:after="0"/>
        <w:ind w:right="72" w:firstLine="567"/>
        <w:jc w:val="both"/>
        <w:textAlignment w:val="baseline"/>
        <w:rPr/>
      </w:pPr>
      <w:r>
        <w:rPr>
          <w:rFonts w:cs="Times New Roman" w:ascii="Times New Roman" w:hAnsi="Times New Roman"/>
          <w:sz w:val="28"/>
          <w:szCs w:val="28"/>
        </w:rPr>
        <w:t>2017 год – 67 300 руб.;</w:t>
      </w:r>
    </w:p>
    <w:p>
      <w:pPr>
        <w:pStyle w:val="Normal"/>
        <w:widowControl w:val="false"/>
        <w:overflowPunct w:val="false"/>
        <w:snapToGrid w:val="false"/>
        <w:spacing w:lineRule="auto" w:line="240" w:before="0" w:after="0"/>
        <w:ind w:right="72" w:firstLine="567"/>
        <w:jc w:val="both"/>
        <w:textAlignment w:val="baseline"/>
        <w:rPr>
          <w:rFonts w:ascii="Times New Roman" w:hAnsi="Times New Roman" w:cs="Times New Roman"/>
          <w:sz w:val="28"/>
          <w:szCs w:val="28"/>
        </w:rPr>
      </w:pPr>
      <w:r>
        <w:rPr>
          <w:rFonts w:cs="Times New Roman" w:ascii="Times New Roman" w:hAnsi="Times New Roman"/>
          <w:sz w:val="28"/>
          <w:szCs w:val="28"/>
        </w:rPr>
        <w:t>2018 год – 0,00 руб.</w:t>
      </w:r>
    </w:p>
    <w:p>
      <w:pPr>
        <w:pStyle w:val="Normal"/>
        <w:widowControl w:val="false"/>
        <w:overflowPunct w:val="false"/>
        <w:snapToGrid w:val="false"/>
        <w:spacing w:lineRule="auto" w:line="240" w:before="0" w:after="0"/>
        <w:ind w:right="72" w:firstLine="567"/>
        <w:jc w:val="both"/>
        <w:textAlignment w:val="baseline"/>
        <w:rPr/>
      </w:pPr>
      <w:r>
        <w:rPr>
          <w:rFonts w:cs="Times New Roman" w:ascii="Times New Roman" w:hAnsi="Times New Roman"/>
          <w:sz w:val="28"/>
          <w:szCs w:val="28"/>
        </w:rPr>
        <w:t>за счет средств краевого бюджета 68 762,10 руб.,</w:t>
      </w:r>
    </w:p>
    <w:p>
      <w:pPr>
        <w:pStyle w:val="Normal"/>
        <w:widowControl w:val="false"/>
        <w:overflowPunct w:val="false"/>
        <w:snapToGrid w:val="false"/>
        <w:spacing w:lineRule="auto" w:line="240" w:before="0" w:after="0"/>
        <w:ind w:right="72" w:firstLine="567"/>
        <w:jc w:val="both"/>
        <w:textAlignment w:val="baseline"/>
        <w:rPr>
          <w:rFonts w:ascii="Times New Roman" w:hAnsi="Times New Roman" w:cs="Times New Roman"/>
          <w:sz w:val="28"/>
          <w:szCs w:val="28"/>
        </w:rPr>
      </w:pPr>
      <w:r>
        <w:rPr>
          <w:rFonts w:cs="Times New Roman" w:ascii="Times New Roman" w:hAnsi="Times New Roman"/>
          <w:sz w:val="28"/>
          <w:szCs w:val="28"/>
        </w:rPr>
        <w:t>из них:</w:t>
      </w:r>
    </w:p>
    <w:p>
      <w:pPr>
        <w:pStyle w:val="Normal"/>
        <w:widowControl w:val="false"/>
        <w:overflowPunct w:val="false"/>
        <w:snapToGrid w:val="false"/>
        <w:spacing w:lineRule="auto" w:line="240" w:before="0" w:after="0"/>
        <w:ind w:right="72" w:firstLine="567"/>
        <w:jc w:val="both"/>
        <w:textAlignment w:val="baseline"/>
        <w:rPr/>
      </w:pPr>
      <w:r>
        <w:rPr>
          <w:rFonts w:cs="Times New Roman" w:ascii="Times New Roman" w:hAnsi="Times New Roman"/>
          <w:sz w:val="28"/>
          <w:szCs w:val="28"/>
        </w:rPr>
        <w:t>2014 год – 10 799 руб.;</w:t>
      </w:r>
    </w:p>
    <w:p>
      <w:pPr>
        <w:pStyle w:val="Normal"/>
        <w:widowControl w:val="false"/>
        <w:overflowPunct w:val="false"/>
        <w:snapToGrid w:val="false"/>
        <w:spacing w:lineRule="auto" w:line="240" w:before="0" w:after="0"/>
        <w:ind w:right="72" w:firstLine="567"/>
        <w:jc w:val="both"/>
        <w:textAlignment w:val="baseline"/>
        <w:rPr/>
      </w:pPr>
      <w:r>
        <w:rPr>
          <w:rFonts w:cs="Times New Roman" w:ascii="Times New Roman" w:hAnsi="Times New Roman"/>
          <w:sz w:val="28"/>
          <w:szCs w:val="28"/>
        </w:rPr>
        <w:t>2015 год – 52 863,10 руб.;</w:t>
      </w:r>
    </w:p>
    <w:p>
      <w:pPr>
        <w:pStyle w:val="Normal"/>
        <w:widowControl w:val="false"/>
        <w:overflowPunct w:val="false"/>
        <w:snapToGrid w:val="false"/>
        <w:spacing w:lineRule="auto" w:line="240" w:before="0" w:after="0"/>
        <w:ind w:right="72" w:firstLine="567"/>
        <w:jc w:val="both"/>
        <w:textAlignment w:val="baseline"/>
        <w:rPr/>
      </w:pPr>
      <w:r>
        <w:rPr>
          <w:rFonts w:cs="Times New Roman" w:ascii="Times New Roman" w:hAnsi="Times New Roman"/>
          <w:sz w:val="28"/>
          <w:szCs w:val="28"/>
        </w:rPr>
        <w:t>2016 год – 1 700 руб.;</w:t>
      </w:r>
    </w:p>
    <w:p>
      <w:pPr>
        <w:pStyle w:val="Normal"/>
        <w:widowControl w:val="false"/>
        <w:overflowPunct w:val="false"/>
        <w:snapToGrid w:val="false"/>
        <w:spacing w:lineRule="auto" w:line="240" w:before="0" w:after="0"/>
        <w:ind w:right="72" w:firstLine="567"/>
        <w:jc w:val="both"/>
        <w:textAlignment w:val="baseline"/>
        <w:rPr/>
      </w:pPr>
      <w:r>
        <w:rPr>
          <w:rFonts w:cs="Times New Roman" w:ascii="Times New Roman" w:hAnsi="Times New Roman"/>
          <w:sz w:val="28"/>
          <w:szCs w:val="28"/>
        </w:rPr>
        <w:t>2017 год – 1 700 руб.;</w:t>
      </w:r>
    </w:p>
    <w:p>
      <w:pPr>
        <w:pStyle w:val="Normal"/>
        <w:widowControl w:val="false"/>
        <w:overflowPunct w:val="false"/>
        <w:snapToGrid w:val="false"/>
        <w:spacing w:lineRule="auto" w:line="240" w:before="0" w:after="0"/>
        <w:ind w:right="72" w:firstLine="567"/>
        <w:jc w:val="both"/>
        <w:textAlignment w:val="baseline"/>
        <w:rPr/>
      </w:pPr>
      <w:bookmarkStart w:id="1" w:name="__DdeLink__252_1023113141"/>
      <w:r>
        <w:rPr>
          <w:rFonts w:cs="Times New Roman" w:ascii="Times New Roman" w:hAnsi="Times New Roman"/>
          <w:sz w:val="28"/>
          <w:szCs w:val="28"/>
        </w:rPr>
        <w:t>2018 год – 1 700</w:t>
      </w:r>
      <w:bookmarkEnd w:id="1"/>
      <w:r>
        <w:rPr>
          <w:rFonts w:cs="Times New Roman" w:ascii="Times New Roman" w:hAnsi="Times New Roman"/>
          <w:sz w:val="28"/>
          <w:szCs w:val="28"/>
        </w:rPr>
        <w:t xml:space="preserve"> руб.  </w:t>
      </w:r>
    </w:p>
    <w:p>
      <w:pPr>
        <w:pStyle w:val="Normal"/>
        <w:widowControl w:val="false"/>
        <w:overflowPunct w:val="false"/>
        <w:snapToGrid w:val="false"/>
        <w:spacing w:lineRule="auto" w:line="240" w:before="0" w:after="0"/>
        <w:ind w:right="72" w:firstLine="567"/>
        <w:jc w:val="both"/>
        <w:textAlignment w:val="baseline"/>
        <w:rPr/>
      </w:pPr>
      <w:r>
        <w:rPr>
          <w:rFonts w:cs="Times New Roman" w:ascii="Times New Roman" w:hAnsi="Times New Roman"/>
          <w:sz w:val="28"/>
          <w:szCs w:val="28"/>
        </w:rPr>
        <w:t>за счет средств районного бюджета 10 648 руб.,</w:t>
      </w:r>
    </w:p>
    <w:p>
      <w:pPr>
        <w:pStyle w:val="Normal"/>
        <w:widowControl w:val="false"/>
        <w:overflowPunct w:val="false"/>
        <w:snapToGrid w:val="false"/>
        <w:spacing w:lineRule="auto" w:line="240" w:before="0" w:after="0"/>
        <w:ind w:right="72" w:firstLine="567"/>
        <w:jc w:val="both"/>
        <w:textAlignment w:val="baseline"/>
        <w:rPr/>
      </w:pPr>
      <w:r>
        <w:rPr>
          <w:rFonts w:cs="Times New Roman" w:ascii="Times New Roman" w:hAnsi="Times New Roman"/>
          <w:sz w:val="28"/>
          <w:szCs w:val="28"/>
        </w:rPr>
        <w:t>из них:</w:t>
      </w:r>
    </w:p>
    <w:p>
      <w:pPr>
        <w:pStyle w:val="Normal"/>
        <w:widowControl w:val="false"/>
        <w:overflowPunct w:val="false"/>
        <w:snapToGrid w:val="false"/>
        <w:spacing w:lineRule="auto" w:line="240" w:before="0" w:after="0"/>
        <w:ind w:right="72" w:firstLine="567"/>
        <w:jc w:val="both"/>
        <w:textAlignment w:val="baseline"/>
        <w:rPr/>
      </w:pPr>
      <w:r>
        <w:rPr>
          <w:rFonts w:cs="Times New Roman" w:ascii="Times New Roman" w:hAnsi="Times New Roman"/>
          <w:sz w:val="28"/>
          <w:szCs w:val="28"/>
        </w:rPr>
        <w:t>2014 год – 0,00 руб.;</w:t>
      </w:r>
    </w:p>
    <w:p>
      <w:pPr>
        <w:pStyle w:val="Normal"/>
        <w:widowControl w:val="false"/>
        <w:overflowPunct w:val="false"/>
        <w:snapToGrid w:val="false"/>
        <w:spacing w:lineRule="auto" w:line="240" w:before="0" w:after="0"/>
        <w:ind w:right="72" w:firstLine="567"/>
        <w:jc w:val="both"/>
        <w:textAlignment w:val="baseline"/>
        <w:rPr/>
      </w:pPr>
      <w:r>
        <w:rPr>
          <w:rFonts w:cs="Times New Roman" w:ascii="Times New Roman" w:hAnsi="Times New Roman"/>
          <w:sz w:val="28"/>
          <w:szCs w:val="28"/>
        </w:rPr>
        <w:t>2015 год – 10 648 руб.;</w:t>
      </w:r>
    </w:p>
    <w:p>
      <w:pPr>
        <w:pStyle w:val="Normal"/>
        <w:widowControl w:val="false"/>
        <w:overflowPunct w:val="false"/>
        <w:snapToGrid w:val="false"/>
        <w:spacing w:lineRule="auto" w:line="240" w:before="0" w:after="0"/>
        <w:ind w:right="72" w:firstLine="567"/>
        <w:jc w:val="both"/>
        <w:textAlignment w:val="baseline"/>
        <w:rPr/>
      </w:pPr>
      <w:r>
        <w:rPr>
          <w:rFonts w:cs="Times New Roman" w:ascii="Times New Roman" w:hAnsi="Times New Roman"/>
          <w:sz w:val="28"/>
          <w:szCs w:val="28"/>
        </w:rPr>
        <w:t>2016 год – 0,00 руб.;</w:t>
      </w:r>
    </w:p>
    <w:p>
      <w:pPr>
        <w:pStyle w:val="Normal"/>
        <w:widowControl w:val="false"/>
        <w:overflowPunct w:val="false"/>
        <w:snapToGrid w:val="false"/>
        <w:spacing w:lineRule="auto" w:line="240" w:before="0" w:after="0"/>
        <w:ind w:right="72" w:firstLine="567"/>
        <w:jc w:val="both"/>
        <w:textAlignment w:val="baseline"/>
        <w:rPr/>
      </w:pPr>
      <w:r>
        <w:rPr>
          <w:rFonts w:cs="Times New Roman" w:ascii="Times New Roman" w:hAnsi="Times New Roman"/>
          <w:sz w:val="28"/>
          <w:szCs w:val="28"/>
        </w:rPr>
        <w:t>2017 год – 0,00 руб.;</w:t>
      </w:r>
    </w:p>
    <w:p>
      <w:pPr>
        <w:pStyle w:val="Normal"/>
        <w:widowControl w:val="false"/>
        <w:overflowPunct w:val="false"/>
        <w:snapToGrid w:val="false"/>
        <w:spacing w:lineRule="auto" w:line="240" w:before="0" w:after="0"/>
        <w:ind w:right="72" w:firstLine="567"/>
        <w:jc w:val="both"/>
        <w:textAlignment w:val="baseline"/>
        <w:rPr/>
      </w:pPr>
      <w:r>
        <w:rPr>
          <w:rFonts w:cs="Times New Roman" w:ascii="Times New Roman" w:hAnsi="Times New Roman"/>
          <w:sz w:val="28"/>
          <w:szCs w:val="28"/>
        </w:rPr>
        <w:t xml:space="preserve">2018 год – 0,00 руб.  </w:t>
      </w:r>
    </w:p>
    <w:p>
      <w:pPr>
        <w:pStyle w:val="Normal"/>
        <w:widowControl w:val="false"/>
        <w:overflowPunct w:val="false"/>
        <w:snapToGrid w:val="false"/>
        <w:spacing w:lineRule="auto" w:line="240" w:before="0" w:after="0"/>
        <w:ind w:right="72" w:firstLine="567"/>
        <w:jc w:val="both"/>
        <w:textAlignment w:val="baseline"/>
        <w:rPr/>
      </w:pPr>
      <w:r>
        <w:rPr>
          <w:rFonts w:cs="Times New Roman" w:ascii="Times New Roman" w:hAnsi="Times New Roman"/>
          <w:sz w:val="28"/>
          <w:szCs w:val="28"/>
        </w:rPr>
        <w:t>за счет средств бюджета поселения 10 568 440,84 руб., из них:</w:t>
      </w:r>
    </w:p>
    <w:p>
      <w:pPr>
        <w:pStyle w:val="Normal"/>
        <w:widowControl w:val="false"/>
        <w:overflowPunct w:val="false"/>
        <w:snapToGrid w:val="false"/>
        <w:spacing w:lineRule="auto" w:line="240" w:before="0" w:after="0"/>
        <w:ind w:right="72" w:firstLine="567"/>
        <w:jc w:val="both"/>
        <w:textAlignment w:val="baseline"/>
        <w:rPr/>
      </w:pPr>
      <w:r>
        <w:rPr>
          <w:rFonts w:cs="Times New Roman" w:ascii="Times New Roman" w:hAnsi="Times New Roman"/>
          <w:sz w:val="28"/>
          <w:szCs w:val="28"/>
        </w:rPr>
        <w:t>2014 год – 2 017 873 ,78 руб.;</w:t>
      </w:r>
    </w:p>
    <w:p>
      <w:pPr>
        <w:pStyle w:val="Normal"/>
        <w:widowControl w:val="false"/>
        <w:overflowPunct w:val="false"/>
        <w:snapToGrid w:val="false"/>
        <w:spacing w:lineRule="auto" w:line="240" w:before="0" w:after="0"/>
        <w:ind w:right="72" w:firstLine="567"/>
        <w:jc w:val="both"/>
        <w:textAlignment w:val="baseline"/>
        <w:rPr/>
      </w:pPr>
      <w:r>
        <w:rPr>
          <w:rFonts w:cs="Times New Roman" w:ascii="Times New Roman" w:hAnsi="Times New Roman"/>
          <w:sz w:val="28"/>
          <w:szCs w:val="28"/>
        </w:rPr>
        <w:t>2015 год – 2 114 067,06 руб.;</w:t>
      </w:r>
    </w:p>
    <w:p>
      <w:pPr>
        <w:pStyle w:val="Normal"/>
        <w:widowControl w:val="false"/>
        <w:overflowPunct w:val="false"/>
        <w:snapToGrid w:val="false"/>
        <w:spacing w:lineRule="auto" w:line="240" w:before="0" w:after="0"/>
        <w:ind w:right="72" w:firstLine="567"/>
        <w:jc w:val="both"/>
        <w:textAlignment w:val="baseline"/>
        <w:rPr/>
      </w:pPr>
      <w:r>
        <w:rPr>
          <w:rFonts w:cs="Times New Roman" w:ascii="Times New Roman" w:hAnsi="Times New Roman"/>
          <w:sz w:val="28"/>
          <w:szCs w:val="28"/>
        </w:rPr>
        <w:t>2016 год – 2 145 500 руб.;</w:t>
      </w:r>
    </w:p>
    <w:p>
      <w:pPr>
        <w:pStyle w:val="Normal"/>
        <w:widowControl w:val="false"/>
        <w:overflowPunct w:val="false"/>
        <w:snapToGrid w:val="false"/>
        <w:spacing w:lineRule="auto" w:line="240" w:before="0" w:after="0"/>
        <w:ind w:right="72" w:firstLine="567"/>
        <w:jc w:val="both"/>
        <w:textAlignment w:val="baseline"/>
        <w:rPr/>
      </w:pPr>
      <w:r>
        <w:rPr>
          <w:rFonts w:cs="Times New Roman" w:ascii="Times New Roman" w:hAnsi="Times New Roman"/>
          <w:sz w:val="28"/>
          <w:szCs w:val="28"/>
        </w:rPr>
        <w:t>2017 год – 2 145 500 руб.;</w:t>
      </w:r>
    </w:p>
    <w:p>
      <w:pPr>
        <w:pStyle w:val="Normal"/>
        <w:widowControl w:val="false"/>
        <w:overflowPunct w:val="false"/>
        <w:snapToGrid w:val="false"/>
        <w:spacing w:lineRule="auto" w:line="240" w:before="0" w:after="0"/>
        <w:ind w:right="72" w:firstLine="567"/>
        <w:jc w:val="both"/>
        <w:textAlignment w:val="baseline"/>
        <w:rPr>
          <w:rFonts w:ascii="Times New Roman" w:hAnsi="Times New Roman" w:cs="Times New Roman"/>
          <w:sz w:val="28"/>
          <w:szCs w:val="28"/>
        </w:rPr>
      </w:pPr>
      <w:r>
        <w:rPr>
          <w:rFonts w:cs="Times New Roman" w:ascii="Times New Roman" w:hAnsi="Times New Roman"/>
          <w:sz w:val="28"/>
          <w:szCs w:val="28"/>
        </w:rPr>
        <w:t>2018 год – 2 145 500 руб.</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Объем средств по мероприятию 1.1. необходимых на реализацию подпрограммы, определен на основании произведенных сметно-финансовых расчетов.</w:t>
      </w:r>
    </w:p>
    <w:p>
      <w:pPr>
        <w:pStyle w:val="Normal"/>
        <w:spacing w:lineRule="auto" w:line="240" w:before="0" w:after="0"/>
        <w:ind w:firstLine="567"/>
        <w:jc w:val="both"/>
        <w:rPr>
          <w:rFonts w:ascii="Times New Roman" w:hAnsi="Times New Roman" w:cs="Times New Roman"/>
          <w:sz w:val="28"/>
          <w:szCs w:val="28"/>
        </w:rPr>
      </w:pPr>
      <w:r>
        <w:rPr>
          <w:rFonts w:cs="Times New Roman" w:ascii="Times New Roman" w:hAnsi="Times New Roman"/>
          <w:sz w:val="28"/>
          <w:szCs w:val="28"/>
        </w:rPr>
        <w:t>Объемы субвенций на осуществление государственных полномочий по первичному воинскому учету на территориях, где отсутствуют военные комиссариаты, на осуществление государственных полномочий по созданию и обеспечению деятельности административных комиссий определены в соответствии с Законом Красноярского края от 02.12.2015г. № 9-3931                           «О краевом бюджете на 2016 год и плановый период 2017-2018 годов» и рассчитаны согласно методики определения общего объема субвенций бюджетам муниципальных образований края на исполнение органами местного самоуправления отдельных государственных полномочий по первичному воинскому учету на территориях, где отсутствуют военные комиссариаты, утвержденной Федеральным законом от 28.03.1998 года № 53-ФЗ «О воинской обязанности и военной службе», по созданию и обеспечению деятельности административных комиссий, утвержденной Законом края от 23.04.2009 года                  № 8-3170 «О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w:t>
      </w:r>
    </w:p>
    <w:p>
      <w:pPr>
        <w:pStyle w:val="Normal"/>
        <w:spacing w:before="0" w:after="0"/>
        <w:ind w:firstLine="567"/>
        <w:jc w:val="both"/>
        <w:rPr>
          <w:rFonts w:ascii="Times New Roman" w:hAnsi="Times New Roman" w:cs="Times New Roman"/>
          <w:sz w:val="28"/>
          <w:szCs w:val="28"/>
        </w:rPr>
      </w:pPr>
      <w:r>
        <w:rPr>
          <w:rFonts w:cs="Times New Roman" w:ascii="Times New Roman" w:hAnsi="Times New Roman"/>
          <w:sz w:val="28"/>
          <w:szCs w:val="28"/>
        </w:rPr>
      </w:r>
    </w:p>
    <w:p>
      <w:pPr>
        <w:pStyle w:val="Normal"/>
        <w:numPr>
          <w:ilvl w:val="0"/>
          <w:numId w:val="0"/>
        </w:numPr>
        <w:ind w:left="6960" w:hanging="0"/>
        <w:jc w:val="right"/>
        <w:outlineLvl w:val="0"/>
        <w:rPr>
          <w:color w:val="000000"/>
          <w:sz w:val="24"/>
          <w:szCs w:val="24"/>
        </w:rPr>
      </w:pPr>
      <w:r>
        <w:rPr>
          <w:color w:val="000000"/>
          <w:sz w:val="24"/>
          <w:szCs w:val="24"/>
        </w:rPr>
      </w:r>
    </w:p>
    <w:p>
      <w:pPr>
        <w:pStyle w:val="Normal"/>
        <w:widowControl w:val="false"/>
        <w:overflowPunct w:val="false"/>
        <w:snapToGrid w:val="false"/>
        <w:spacing w:lineRule="auto" w:line="240" w:before="0" w:after="0"/>
        <w:ind w:right="72" w:hanging="0"/>
        <w:jc w:val="both"/>
        <w:textAlignment w:val="baseline"/>
        <w:rPr/>
      </w:pPr>
      <w:r>
        <w:rPr/>
      </w:r>
    </w:p>
    <w:sectPr>
      <w:type w:val="nextPage"/>
      <w:pgSz w:w="11906" w:h="16838"/>
      <w:pgMar w:left="1418" w:right="851" w:header="0" w:top="454" w:footer="0" w:bottom="284"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Cambria">
    <w:charset w:val="cc"/>
    <w:family w:val="roman"/>
    <w:pitch w:val="variable"/>
  </w:font>
  <w:font w:name="Tahoma">
    <w:charset w:val="cc"/>
    <w:family w:val="roman"/>
    <w:pitch w:val="variable"/>
  </w:font>
  <w:font w:name="Arial">
    <w:charset w:val="cc"/>
    <w:family w:val="roman"/>
    <w:pitch w:val="variable"/>
  </w:font>
  <w:font w:name="Times New Roman">
    <w:charset w:val="cc"/>
    <w:family w:val="roman"/>
    <w:pitch w:val="variable"/>
  </w:font>
  <w:font w:name="Liberation Sans">
    <w:altName w:val="Arial"/>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lvl>
    <w:lvl w:ilvl="1">
      <w:start w:val="1"/>
      <w:numFmt w:val="decimal"/>
      <w:lvlText w:val="%1.%2."/>
      <w:lvlJc w:val="left"/>
      <w:pPr>
        <w:ind w:left="1440" w:hanging="720"/>
      </w:pPr>
    </w:lvl>
    <w:lvl w:ilvl="2">
      <w:start w:val="1"/>
      <w:numFmt w:val="decimal"/>
      <w:lvlText w:val="%1.%2.%3."/>
      <w:lvlJc w:val="left"/>
      <w:pPr>
        <w:ind w:left="1800" w:hanging="720"/>
      </w:pPr>
    </w:lvl>
    <w:lvl w:ilvl="3">
      <w:start w:val="1"/>
      <w:numFmt w:val="decimal"/>
      <w:lvlText w:val="%1.%2.%3.%4."/>
      <w:lvlJc w:val="left"/>
      <w:pPr>
        <w:ind w:left="2520" w:hanging="1080"/>
      </w:p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4320" w:hanging="180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50"/>
  <w:defaultTabStop w:val="708"/>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pacing w:lineRule="auto" w:line="276"/>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uiPriority="0" w:semiHidden="0" w:unhideWhenUsed="0" w:qFormat="1"/>
    <w:lsdException w:name="Default Paragraph Font" w:uiPriority="1"/>
    <w:lsdException w:name="Subtitle" w:uiPriority="11" w:semiHidden="0" w:unhideWhenUsed="0" w:qFormat="1"/>
    <w:lsdException w:name="Hyperlink" w:uiPriority="0"/>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192377"/>
    <w:pPr>
      <w:widowControl/>
      <w:bidi w:val="0"/>
      <w:spacing w:lineRule="auto" w:line="276" w:before="0" w:after="200"/>
      <w:jc w:val="left"/>
    </w:pPr>
    <w:rPr>
      <w:rFonts w:ascii="Calibri" w:hAnsi="Calibri" w:eastAsia="Calibri" w:cs="" w:asciiTheme="minorHAnsi" w:cstheme="minorBidi" w:eastAsiaTheme="minorHAnsi" w:hAnsiTheme="minorHAnsi"/>
      <w:color w:val="00000A"/>
      <w:sz w:val="22"/>
      <w:szCs w:val="22"/>
      <w:lang w:val="ru-RU" w:eastAsia="en-US" w:bidi="ar-SA"/>
    </w:rPr>
  </w:style>
  <w:style w:type="paragraph" w:styleId="1">
    <w:name w:val="Заголовок 1"/>
    <w:basedOn w:val="Normal"/>
    <w:link w:val="10"/>
    <w:uiPriority w:val="9"/>
    <w:qFormat/>
    <w:rsid w:val="00763d66"/>
    <w:pPr>
      <w:keepNext/>
      <w:keepLines/>
      <w:spacing w:before="480" w:after="0"/>
      <w:outlineLvl w:val="0"/>
    </w:pPr>
    <w:rPr>
      <w:rFonts w:ascii="Cambria" w:hAnsi="Cambria" w:eastAsia="" w:cs="" w:asciiTheme="majorHAnsi" w:cstheme="majorBidi" w:eastAsiaTheme="majorEastAsia" w:hAnsiTheme="majorHAnsi"/>
      <w:b/>
      <w:bCs/>
      <w:color w:val="365F91" w:themeColor="accent1" w:themeShade="bf"/>
      <w:sz w:val="28"/>
      <w:szCs w:val="28"/>
    </w:rPr>
  </w:style>
  <w:style w:type="character" w:styleId="DefaultParagraphFont" w:default="1">
    <w:name w:val="Default Paragraph Font"/>
    <w:uiPriority w:val="1"/>
    <w:semiHidden/>
    <w:unhideWhenUsed/>
    <w:qFormat/>
    <w:rPr/>
  </w:style>
  <w:style w:type="character" w:styleId="Style13">
    <w:name w:val="Интернет-ссылка"/>
    <w:basedOn w:val="DefaultParagraphFont"/>
    <w:rsid w:val="00474d7e"/>
    <w:rPr>
      <w:color w:val="0000FF"/>
      <w:u w:val="single"/>
    </w:rPr>
  </w:style>
  <w:style w:type="character" w:styleId="Annotationreference">
    <w:name w:val="annotation reference"/>
    <w:basedOn w:val="DefaultParagraphFont"/>
    <w:semiHidden/>
    <w:qFormat/>
    <w:rsid w:val="00474d7e"/>
    <w:rPr>
      <w:sz w:val="16"/>
      <w:szCs w:val="16"/>
    </w:rPr>
  </w:style>
  <w:style w:type="character" w:styleId="11" w:customStyle="1">
    <w:name w:val="Заголовок 1 Знак"/>
    <w:basedOn w:val="DefaultParagraphFont"/>
    <w:link w:val="1"/>
    <w:uiPriority w:val="9"/>
    <w:qFormat/>
    <w:rsid w:val="00763d66"/>
    <w:rPr>
      <w:rFonts w:ascii="Cambria" w:hAnsi="Cambria" w:eastAsia="" w:cs="" w:asciiTheme="majorHAnsi" w:cstheme="majorBidi" w:eastAsiaTheme="majorEastAsia" w:hAnsiTheme="majorHAnsi"/>
      <w:b/>
      <w:bCs/>
      <w:color w:val="365F91" w:themeColor="accent1" w:themeShade="bf"/>
      <w:sz w:val="28"/>
      <w:szCs w:val="28"/>
    </w:rPr>
  </w:style>
  <w:style w:type="character" w:styleId="Style14" w:customStyle="1">
    <w:name w:val="Текст выноски Знак"/>
    <w:basedOn w:val="DefaultParagraphFont"/>
    <w:link w:val="a7"/>
    <w:uiPriority w:val="99"/>
    <w:semiHidden/>
    <w:qFormat/>
    <w:rsid w:val="00cd21c6"/>
    <w:rPr>
      <w:rFonts w:ascii="Tahoma" w:hAnsi="Tahoma" w:cs="Tahoma"/>
      <w:sz w:val="16"/>
      <w:szCs w:val="16"/>
    </w:rPr>
  </w:style>
  <w:style w:type="character" w:styleId="ConsPlusNormal" w:customStyle="1">
    <w:name w:val="ConsPlusNormal Знак Знак Знак Знак"/>
    <w:link w:val="ConsPlusNormal1"/>
    <w:qFormat/>
    <w:locked/>
    <w:rsid w:val="00bf1e26"/>
    <w:rPr>
      <w:rFonts w:ascii="Arial" w:hAnsi="Arial" w:cs="Arial"/>
      <w:sz w:val="24"/>
      <w:szCs w:val="24"/>
    </w:rPr>
  </w:style>
  <w:style w:type="character" w:styleId="Style15" w:customStyle="1">
    <w:name w:val="Название Знак"/>
    <w:basedOn w:val="DefaultParagraphFont"/>
    <w:link w:val="a9"/>
    <w:qFormat/>
    <w:rsid w:val="002b5a50"/>
    <w:rPr>
      <w:rFonts w:ascii="Times New Roman" w:hAnsi="Times New Roman" w:eastAsia="Times New Roman" w:cs="Times New Roman"/>
      <w:b/>
      <w:sz w:val="24"/>
      <w:szCs w:val="20"/>
      <w:lang w:eastAsia="ru-RU"/>
    </w:rPr>
  </w:style>
  <w:style w:type="character" w:styleId="ListLabel1">
    <w:name w:val="ListLabel 1"/>
    <w:qFormat/>
    <w:rPr>
      <w:rFonts w:cs="Times New Roman"/>
      <w:sz w:val="28"/>
    </w:rPr>
  </w:style>
  <w:style w:type="character" w:styleId="ListLabel2">
    <w:name w:val="ListLabel 2"/>
    <w:qFormat/>
    <w:rPr>
      <w:rFonts w:cs="Times New Roman"/>
    </w:rPr>
  </w:style>
  <w:style w:type="character" w:styleId="ListLabel3">
    <w:name w:val="ListLabel 3"/>
    <w:qFormat/>
    <w:rPr>
      <w:rFonts w:cs="Calibri"/>
    </w:rPr>
  </w:style>
  <w:style w:type="character" w:styleId="ListLabel4">
    <w:name w:val="ListLabel 4"/>
    <w:qFormat/>
    <w:rPr>
      <w:b w:val="false"/>
    </w:rPr>
  </w:style>
  <w:style w:type="paragraph" w:styleId="Style16">
    <w:name w:val="Заголовок"/>
    <w:basedOn w:val="Normal"/>
    <w:next w:val="Style17"/>
    <w:qFormat/>
    <w:pPr>
      <w:keepNext/>
      <w:spacing w:before="240" w:after="120"/>
    </w:pPr>
    <w:rPr>
      <w:rFonts w:ascii="Liberation Sans" w:hAnsi="Liberation Sans" w:eastAsia="Microsoft YaHei" w:cs="Mangal"/>
      <w:sz w:val="28"/>
      <w:szCs w:val="28"/>
    </w:rPr>
  </w:style>
  <w:style w:type="paragraph" w:styleId="Style17">
    <w:name w:val="Основной текст"/>
    <w:basedOn w:val="Normal"/>
    <w:pPr>
      <w:spacing w:lineRule="auto" w:line="288" w:before="0" w:after="140"/>
    </w:pPr>
    <w:rPr/>
  </w:style>
  <w:style w:type="paragraph" w:styleId="Style18">
    <w:name w:val="Список"/>
    <w:basedOn w:val="Style17"/>
    <w:pPr/>
    <w:rPr>
      <w:rFonts w:cs="Mangal"/>
    </w:rPr>
  </w:style>
  <w:style w:type="paragraph" w:styleId="Style19">
    <w:name w:val="Название"/>
    <w:basedOn w:val="Normal"/>
    <w:pPr>
      <w:suppressLineNumbers/>
      <w:spacing w:before="120" w:after="120"/>
    </w:pPr>
    <w:rPr>
      <w:rFonts w:cs="Mangal"/>
      <w:i/>
      <w:iCs/>
      <w:sz w:val="24"/>
      <w:szCs w:val="24"/>
    </w:rPr>
  </w:style>
  <w:style w:type="paragraph" w:styleId="Style20">
    <w:name w:val="Указатель"/>
    <w:basedOn w:val="Normal"/>
    <w:qFormat/>
    <w:pPr>
      <w:suppressLineNumbers/>
    </w:pPr>
    <w:rPr>
      <w:rFonts w:cs="Mangal"/>
    </w:rPr>
  </w:style>
  <w:style w:type="paragraph" w:styleId="ConsPlusCell" w:customStyle="1">
    <w:name w:val="ConsPlusCell"/>
    <w:uiPriority w:val="99"/>
    <w:qFormat/>
    <w:rsid w:val="00192377"/>
    <w:pPr>
      <w:widowControl w:val="false"/>
      <w:bidi w:val="0"/>
      <w:spacing w:lineRule="auto" w:line="240" w:before="0" w:after="0"/>
      <w:jc w:val="left"/>
    </w:pPr>
    <w:rPr>
      <w:rFonts w:ascii="Calibri" w:hAnsi="Calibri" w:eastAsia="" w:cs="Calibri" w:eastAsiaTheme="minorEastAsia"/>
      <w:color w:val="00000A"/>
      <w:sz w:val="22"/>
      <w:szCs w:val="22"/>
      <w:lang w:val="ru-RU" w:eastAsia="ru-RU" w:bidi="ar-SA"/>
    </w:rPr>
  </w:style>
  <w:style w:type="paragraph" w:styleId="ListParagraph">
    <w:name w:val="List Paragraph"/>
    <w:basedOn w:val="Normal"/>
    <w:uiPriority w:val="34"/>
    <w:qFormat/>
    <w:rsid w:val="00954404"/>
    <w:pPr>
      <w:spacing w:before="0" w:after="200"/>
      <w:ind w:left="720" w:hanging="0"/>
      <w:contextualSpacing/>
    </w:pPr>
    <w:rPr/>
  </w:style>
  <w:style w:type="paragraph" w:styleId="12" w:customStyle="1">
    <w:name w:val="Абзац списка1"/>
    <w:basedOn w:val="Normal"/>
    <w:qFormat/>
    <w:rsid w:val="00954404"/>
    <w:pPr>
      <w:spacing w:before="0" w:after="200"/>
      <w:ind w:left="720" w:hanging="0"/>
      <w:contextualSpacing/>
    </w:pPr>
    <w:rPr>
      <w:rFonts w:ascii="Calibri" w:hAnsi="Calibri" w:eastAsia="Times New Roman" w:cs="Times New Roman"/>
    </w:rPr>
  </w:style>
  <w:style w:type="paragraph" w:styleId="2" w:customStyle="1">
    <w:name w:val="Абзац списка2"/>
    <w:basedOn w:val="Normal"/>
    <w:qFormat/>
    <w:rsid w:val="009f6995"/>
    <w:pPr>
      <w:spacing w:before="0" w:after="200"/>
      <w:ind w:left="720" w:hanging="0"/>
      <w:contextualSpacing/>
    </w:pPr>
    <w:rPr>
      <w:rFonts w:ascii="Calibri" w:hAnsi="Calibri" w:eastAsia="Times New Roman" w:cs="Times New Roman"/>
    </w:rPr>
  </w:style>
  <w:style w:type="paragraph" w:styleId="3" w:customStyle="1">
    <w:name w:val="Абзац списка3"/>
    <w:basedOn w:val="Normal"/>
    <w:qFormat/>
    <w:rsid w:val="00404cd5"/>
    <w:pPr>
      <w:spacing w:before="0" w:after="200"/>
      <w:ind w:left="720" w:hanging="0"/>
      <w:contextualSpacing/>
    </w:pPr>
    <w:rPr>
      <w:rFonts w:ascii="Calibri" w:hAnsi="Calibri" w:eastAsia="Times New Roman" w:cs="Times New Roman"/>
    </w:rPr>
  </w:style>
  <w:style w:type="paragraph" w:styleId="ConsPlusNormal1" w:customStyle="1">
    <w:name w:val="ConsPlusNormal"/>
    <w:qFormat/>
    <w:rsid w:val="005c3a81"/>
    <w:pPr>
      <w:widowControl w:val="false"/>
      <w:bidi w:val="0"/>
      <w:spacing w:lineRule="auto" w:line="240" w:before="0" w:after="0"/>
      <w:ind w:firstLine="720"/>
      <w:jc w:val="left"/>
    </w:pPr>
    <w:rPr>
      <w:rFonts w:ascii="Arial" w:hAnsi="Arial" w:eastAsia="Times New Roman" w:cs="Arial"/>
      <w:color w:val="00000A"/>
      <w:sz w:val="20"/>
      <w:szCs w:val="20"/>
      <w:lang w:val="ru-RU" w:eastAsia="ru-RU" w:bidi="ar-SA"/>
    </w:rPr>
  </w:style>
  <w:style w:type="paragraph" w:styleId="NormalWeb">
    <w:name w:val="Normal (Web)"/>
    <w:basedOn w:val="Normal"/>
    <w:uiPriority w:val="99"/>
    <w:unhideWhenUsed/>
    <w:qFormat/>
    <w:rsid w:val="001a5cfb"/>
    <w:pPr>
      <w:spacing w:lineRule="auto" w:line="240" w:beforeAutospacing="1" w:afterAutospacing="1"/>
      <w:ind w:firstLine="709"/>
      <w:jc w:val="both"/>
    </w:pPr>
    <w:rPr>
      <w:rFonts w:ascii="Times New Roman" w:hAnsi="Times New Roman" w:eastAsia="Times New Roman" w:cs="Times New Roman"/>
      <w:sz w:val="24"/>
      <w:szCs w:val="24"/>
      <w:lang w:eastAsia="ru-RU"/>
    </w:rPr>
  </w:style>
  <w:style w:type="paragraph" w:styleId="BalloonText">
    <w:name w:val="Balloon Text"/>
    <w:basedOn w:val="Normal"/>
    <w:link w:val="a8"/>
    <w:uiPriority w:val="99"/>
    <w:semiHidden/>
    <w:unhideWhenUsed/>
    <w:qFormat/>
    <w:rsid w:val="00cd21c6"/>
    <w:pPr>
      <w:spacing w:lineRule="auto" w:line="240" w:before="0" w:after="0"/>
    </w:pPr>
    <w:rPr>
      <w:rFonts w:ascii="Tahoma" w:hAnsi="Tahoma" w:cs="Tahoma"/>
      <w:sz w:val="16"/>
      <w:szCs w:val="16"/>
    </w:rPr>
  </w:style>
  <w:style w:type="paragraph" w:styleId="ConsPlusNormal2" w:customStyle="1">
    <w:name w:val="ConsPlusNormal Знак Знак Знак"/>
    <w:link w:val="ConsPlusNormal0"/>
    <w:qFormat/>
    <w:rsid w:val="00bf1e26"/>
    <w:pPr>
      <w:widowControl w:val="false"/>
      <w:bidi w:val="0"/>
      <w:spacing w:lineRule="auto" w:line="240" w:before="0" w:after="0"/>
      <w:ind w:firstLine="720"/>
      <w:jc w:val="left"/>
    </w:pPr>
    <w:rPr>
      <w:rFonts w:ascii="Arial" w:hAnsi="Arial" w:eastAsia="Calibri" w:cs="Arial" w:eastAsiaTheme="minorHAnsi"/>
      <w:color w:val="00000A"/>
      <w:sz w:val="24"/>
      <w:szCs w:val="24"/>
      <w:lang w:val="ru-RU" w:eastAsia="en-US" w:bidi="ar-SA"/>
    </w:rPr>
  </w:style>
  <w:style w:type="paragraph" w:styleId="Style21">
    <w:name w:val="Заглавие"/>
    <w:basedOn w:val="Normal"/>
    <w:link w:val="aa"/>
    <w:qFormat/>
    <w:rsid w:val="002b5a50"/>
    <w:pPr>
      <w:spacing w:lineRule="auto" w:line="360" w:before="0" w:after="0"/>
      <w:jc w:val="center"/>
    </w:pPr>
    <w:rPr>
      <w:rFonts w:ascii="Times New Roman" w:hAnsi="Times New Roman" w:eastAsia="Times New Roman" w:cs="Times New Roman"/>
      <w:b/>
      <w:sz w:val="24"/>
      <w:szCs w:val="20"/>
      <w:lang w:eastAsia="ru-RU"/>
    </w:rPr>
  </w:style>
  <w:style w:type="numbering" w:styleId="NoList" w:default="1">
    <w:name w:val="No List"/>
    <w:uiPriority w:val="99"/>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022515-595C-4E26-BC2D-0DEBE0B09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1947</TotalTime>
  <Application>LibreOffice/5.0.4.2$Windows_X86_64 LibreOffice_project/2b9802c1994aa0b7dc6079e128979269cf95bc78</Application>
  <Paragraphs>150</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2013-07-06T06:29:00Z</dcterms:created>
  <dc:creator>Customer</dc:creator>
  <dc:language>ru-RU</dc:language>
  <cp:lastPrinted>2015-11-14T13:07:00Z</cp:lastPrinted>
  <dcterms:modified xsi:type="dcterms:W3CDTF">2016-11-26T12:56:12Z</dcterms:modified>
  <cp:revision>341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